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WG1 meeting #11</w:t>
      </w:r>
      <w:r>
        <w:rPr>
          <w:rFonts w:hint="eastAsia" w:ascii="Arial" w:hAnsi="Arial" w:cs="Arial"/>
          <w:b/>
          <w:bCs/>
          <w:sz w:val="22"/>
          <w:szCs w:val="22"/>
        </w:rPr>
        <w:t>4bis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                                  </w:t>
      </w:r>
      <w:r>
        <w:rPr>
          <w:rFonts w:ascii="Arial" w:hAnsi="Arial" w:cs="Arial"/>
          <w:b/>
          <w:bCs/>
          <w:sz w:val="22"/>
          <w:szCs w:val="22"/>
          <w:highlight w:val="none"/>
          <w:lang w:eastAsia="ja-JP"/>
        </w:rPr>
        <w:t>R1-2</w:t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30</w:t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val="en-US" w:eastAsia="zh-CN"/>
        </w:rPr>
        <w:t>9183</w:t>
      </w:r>
    </w:p>
    <w:p>
      <w:pPr>
        <w:spacing w:before="120" w:after="120"/>
        <w:rPr>
          <w:sz w:val="22"/>
          <w:szCs w:val="22"/>
        </w:rPr>
      </w:pPr>
      <w:r>
        <w:rPr>
          <w:rFonts w:hint="eastAsia" w:ascii="Arial" w:hAnsi="Arial" w:cs="Arial"/>
          <w:b/>
          <w:bCs/>
          <w:sz w:val="22"/>
          <w:szCs w:val="22"/>
        </w:rPr>
        <w:t>Xiamen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cs="Arial"/>
          <w:b/>
          <w:bCs/>
          <w:sz w:val="22"/>
          <w:szCs w:val="22"/>
        </w:rPr>
        <w:t>China, Oct 9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eastAsia="MS Mincho" w:cs="Arial"/>
          <w:b/>
          <w:bCs/>
          <w:sz w:val="22"/>
          <w:szCs w:val="22"/>
        </w:rPr>
        <w:t xml:space="preserve"> – </w:t>
      </w:r>
      <w:r>
        <w:rPr>
          <w:rFonts w:hint="eastAsia" w:ascii="Arial" w:hAnsi="Arial" w:cs="Arial"/>
          <w:b/>
          <w:bCs/>
          <w:sz w:val="22"/>
          <w:szCs w:val="22"/>
        </w:rPr>
        <w:t>Oct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</w:rPr>
        <w:t>13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>
      <w:pPr>
        <w:tabs>
          <w:tab w:val="center" w:pos="4536"/>
          <w:tab w:val="right" w:pos="9072"/>
        </w:tabs>
        <w:spacing w:before="120" w:after="120"/>
        <w:rPr>
          <w:rFonts w:ascii="Arial" w:hAnsi="Arial" w:cs="Arial"/>
          <w:b/>
          <w:bCs/>
          <w:sz w:val="22"/>
          <w:szCs w:val="22"/>
        </w:rPr>
      </w:pPr>
    </w:p>
    <w:p>
      <w:pPr>
        <w:tabs>
          <w:tab w:val="left" w:pos="1985"/>
        </w:tabs>
        <w:spacing w:before="240" w:beforeLines="10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Discussio</w:t>
      </w:r>
      <w:r>
        <w:rPr>
          <w:rFonts w:hint="eastAsia" w:ascii="Arial" w:hAnsi="Arial"/>
          <w:b/>
          <w:sz w:val="22"/>
          <w:szCs w:val="22"/>
        </w:rPr>
        <w:t>n on UE features for XR enhancements</w:t>
      </w:r>
      <w:r>
        <w:rPr>
          <w:rFonts w:ascii="Arial" w:hAnsi="Arial"/>
          <w:b/>
          <w:sz w:val="22"/>
          <w:szCs w:val="22"/>
        </w:rPr>
        <w:t> </w:t>
      </w:r>
    </w:p>
    <w:p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ZTE, Sanechips</w:t>
      </w:r>
    </w:p>
    <w:p>
      <w:pPr>
        <w:tabs>
          <w:tab w:val="left" w:pos="1985"/>
        </w:tabs>
        <w:spacing w:before="120" w:after="120"/>
        <w:rPr>
          <w:b/>
          <w:sz w:val="20"/>
          <w:szCs w:val="22"/>
          <w:highlight w:val="yellow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8</w:t>
      </w:r>
      <w:r>
        <w:rPr>
          <w:rFonts w:ascii="Arial" w:hAnsi="Arial"/>
          <w:b/>
          <w:sz w:val="22"/>
          <w:szCs w:val="22"/>
        </w:rPr>
        <w:t>.</w:t>
      </w:r>
      <w:r>
        <w:rPr>
          <w:rFonts w:hint="eastAsia" w:ascii="Arial" w:hAnsi="Arial"/>
          <w:b/>
          <w:sz w:val="22"/>
          <w:szCs w:val="22"/>
        </w:rPr>
        <w:t>16</w:t>
      </w:r>
      <w:r>
        <w:rPr>
          <w:rFonts w:ascii="Arial" w:hAnsi="Arial"/>
          <w:b/>
          <w:sz w:val="22"/>
          <w:szCs w:val="22"/>
        </w:rPr>
        <w:t>.6</w:t>
      </w:r>
      <w:bookmarkStart w:id="9" w:name="_GoBack"/>
      <w:bookmarkEnd w:id="9"/>
    </w:p>
    <w:p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Introduction</w:t>
      </w:r>
    </w:p>
    <w:p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In RAN1#114 meeting, two UE features for XR enhancements </w:t>
      </w:r>
      <w:r>
        <w:rPr>
          <w:rFonts w:hint="eastAsia"/>
          <w:szCs w:val="21"/>
          <w:lang w:val="en-US" w:eastAsia="zh-CN"/>
        </w:rPr>
        <w:t>were</w:t>
      </w:r>
      <w:r>
        <w:rPr>
          <w:rFonts w:hint="eastAsia"/>
          <w:szCs w:val="21"/>
        </w:rPr>
        <w:t xml:space="preserve"> agreed [1].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spacing w:before="120" w:after="120"/>
              <w:rPr>
                <w:rFonts w:eastAsia="MS Gothic"/>
                <w:b/>
                <w:bCs/>
                <w:sz w:val="24"/>
                <w:lang w:eastAsia="ja-JP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</w:p>
          <w:p>
            <w:pPr>
              <w:numPr>
                <w:ilvl w:val="0"/>
                <w:numId w:val="5"/>
              </w:numPr>
              <w:spacing w:before="120" w:after="120"/>
              <w:rPr>
                <w:rFonts w:eastAsia="MS Gothic"/>
                <w:szCs w:val="16"/>
                <w:lang w:eastAsia="ja-JP"/>
              </w:rPr>
            </w:pPr>
            <w:r>
              <w:rPr>
                <w:rFonts w:eastAsia="MS Gothic"/>
                <w:szCs w:val="16"/>
                <w:lang w:eastAsia="ja-JP"/>
              </w:rPr>
              <w:t>Introduce following FGs</w:t>
            </w:r>
          </w:p>
          <w:tbl>
            <w:tblPr>
              <w:tblStyle w:val="23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4"/>
              <w:gridCol w:w="457"/>
              <w:gridCol w:w="990"/>
              <w:gridCol w:w="990"/>
              <w:gridCol w:w="482"/>
              <w:gridCol w:w="441"/>
              <w:gridCol w:w="491"/>
              <w:gridCol w:w="990"/>
              <w:gridCol w:w="576"/>
              <w:gridCol w:w="547"/>
              <w:gridCol w:w="547"/>
              <w:gridCol w:w="573"/>
              <w:gridCol w:w="911"/>
              <w:gridCol w:w="75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34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  <w:t xml:space="preserve">50. </w:t>
                  </w:r>
                  <w:r>
                    <w:rPr>
                      <w:rFonts w:ascii="Arial" w:hAnsi="Arial" w:eastAsia="MS Mincho"/>
                      <w:sz w:val="12"/>
                      <w:szCs w:val="12"/>
                    </w:rPr>
                    <w:t>NR_XR_Enh</w:t>
                  </w:r>
                </w:p>
              </w:tc>
              <w:tc>
                <w:tcPr>
                  <w:tcW w:w="15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  <w:t>50-1</w:t>
                  </w:r>
                </w:p>
              </w:tc>
              <w:tc>
                <w:tcPr>
                  <w:tcW w:w="450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eastAsia="MS Mincho"/>
                      <w:sz w:val="12"/>
                      <w:szCs w:val="12"/>
                    </w:rPr>
                    <w:t>Multi-PUSCHs for Configured Grant</w:t>
                  </w:r>
                </w:p>
              </w:tc>
              <w:tc>
                <w:tcPr>
                  <w:tcW w:w="50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  <w:t>1. Determination of time-domain resource allocation for CG-PUSCHs associated to a multi-PUSCHs CG</w:t>
                  </w:r>
                </w:p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</w:pPr>
                </w:p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hint="eastAsia"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>
                    <w:rPr>
                      <w:rFonts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  <w:t>FS whether to separate this FG for type-1 and type-2 CG</w:t>
                  </w:r>
                </w:p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</w:pPr>
                </w:p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hint="eastAsia"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>
                    <w:rPr>
                      <w:rFonts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  <w:t>FS whether to separate this FG for multiple CG configurations</w:t>
                  </w:r>
                </w:p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</w:pPr>
                </w:p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hint="eastAsia"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>
                    <w:rPr>
                      <w:rFonts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  <w:t>FS whether to separate this FG for shared spectrum</w:t>
                  </w:r>
                </w:p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</w:pPr>
                </w:p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  <w:t>FFS whether to report maximum supported number of configured CG-PUSCH TOs in one CG period</w:t>
                  </w:r>
                </w:p>
              </w:tc>
              <w:tc>
                <w:tcPr>
                  <w:tcW w:w="29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00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270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Yes</w:t>
                  </w:r>
                </w:p>
              </w:tc>
              <w:tc>
                <w:tcPr>
                  <w:tcW w:w="29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  <w:t>N/A</w:t>
                  </w:r>
                </w:p>
              </w:tc>
              <w:tc>
                <w:tcPr>
                  <w:tcW w:w="42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eastAsia="MS Mincho"/>
                      <w:sz w:val="12"/>
                      <w:szCs w:val="12"/>
                    </w:rPr>
                    <w:t>UE is not able to support Multi-PUSCHs per one period in Configured grant in licensed band</w:t>
                  </w:r>
                </w:p>
              </w:tc>
              <w:tc>
                <w:tcPr>
                  <w:tcW w:w="340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00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32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00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32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00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338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00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51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</w:rPr>
                  </w:pPr>
                </w:p>
              </w:tc>
              <w:tc>
                <w:tcPr>
                  <w:tcW w:w="430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  <w:t>Optional with capability signaling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34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  <w:t xml:space="preserve">50. </w:t>
                  </w:r>
                  <w:r>
                    <w:rPr>
                      <w:rFonts w:ascii="Arial" w:hAnsi="Arial" w:eastAsia="MS Mincho"/>
                      <w:sz w:val="12"/>
                      <w:szCs w:val="12"/>
                    </w:rPr>
                    <w:t>NR_XR_Enh</w:t>
                  </w:r>
                </w:p>
              </w:tc>
              <w:tc>
                <w:tcPr>
                  <w:tcW w:w="15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  <w:t>50-2</w:t>
                  </w:r>
                </w:p>
              </w:tc>
              <w:tc>
                <w:tcPr>
                  <w:tcW w:w="450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eastAsia="MS Mincho"/>
                      <w:sz w:val="12"/>
                      <w:szCs w:val="12"/>
                    </w:rPr>
                    <w:t>UCI indication of unused CG-PUSCH transmission occasions</w:t>
                  </w:r>
                </w:p>
              </w:tc>
              <w:tc>
                <w:tcPr>
                  <w:tcW w:w="50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  <w:t>1. Multiplexing of the Unused transmission occasions UCI (UTO-UCI) on a CG-PUSCH</w:t>
                  </w:r>
                </w:p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</w:pPr>
                </w:p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>
                    <w:rPr>
                      <w:rFonts w:hint="eastAsia"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>
                    <w:rPr>
                      <w:rFonts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  <w:t>FS whether to merge this FG into FG 50-1</w:t>
                  </w:r>
                </w:p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</w:pPr>
                </w:p>
                <w:p>
                  <w:pPr>
                    <w:spacing w:before="120" w:after="120"/>
                    <w:rPr>
                      <w:rFonts w:ascii="Arial" w:hAnsi="Arial" w:eastAsia="MS Gothic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hint="eastAsia"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>
                    <w:rPr>
                      <w:rFonts w:ascii="Arial" w:hAnsi="Arial" w:eastAsia="MS Gothic" w:cs="Arial"/>
                      <w:sz w:val="12"/>
                      <w:szCs w:val="12"/>
                      <w:highlight w:val="yellow"/>
                      <w:lang w:eastAsia="ja-JP"/>
                    </w:rPr>
                    <w:t>FS whether to separate this FG for UTO-UCI multiplexing with HARQ-ACK</w:t>
                  </w:r>
                </w:p>
              </w:tc>
              <w:tc>
                <w:tcPr>
                  <w:tcW w:w="29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00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270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Yes</w:t>
                  </w:r>
                </w:p>
              </w:tc>
              <w:tc>
                <w:tcPr>
                  <w:tcW w:w="29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  <w:t>N/A</w:t>
                  </w:r>
                </w:p>
              </w:tc>
              <w:tc>
                <w:tcPr>
                  <w:tcW w:w="42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UE is not able to indicate the unused resources in CG</w:t>
                  </w:r>
                </w:p>
              </w:tc>
              <w:tc>
                <w:tcPr>
                  <w:tcW w:w="340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00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32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00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32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00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338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00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51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</w:rPr>
                  </w:pPr>
                </w:p>
              </w:tc>
              <w:tc>
                <w:tcPr>
                  <w:tcW w:w="430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pacing w:before="120" w:after="120"/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</w:pPr>
                  <w:r>
                    <w:rPr>
                      <w:rFonts w:ascii="Arial" w:hAnsi="Arial" w:eastAsia="MS Mincho" w:cs="Arial"/>
                      <w:sz w:val="12"/>
                      <w:szCs w:val="12"/>
                      <w:lang w:eastAsia="ja-JP"/>
                    </w:rPr>
                    <w:t>Optional with capability signaling</w:t>
                  </w:r>
                </w:p>
              </w:tc>
            </w:tr>
          </w:tbl>
          <w:p>
            <w:pPr>
              <w:spacing w:before="120" w:after="120"/>
              <w:rPr>
                <w:szCs w:val="21"/>
              </w:rPr>
            </w:pPr>
          </w:p>
        </w:tc>
      </w:tr>
    </w:tbl>
    <w:p>
      <w:pPr>
        <w:spacing w:before="120" w:after="120"/>
        <w:rPr>
          <w:szCs w:val="21"/>
        </w:rPr>
      </w:pPr>
      <w:r>
        <w:rPr>
          <w:rFonts w:hint="eastAsia"/>
          <w:szCs w:val="21"/>
        </w:rPr>
        <w:t>In this contribution, we provide views on multiple multi-PUSCHs CG configurations and the UE feature on resumption of PDCCH monitoring after NACK</w:t>
      </w:r>
      <w:r>
        <w:rPr>
          <w:rFonts w:hint="eastAsia"/>
          <w:szCs w:val="21"/>
          <w:lang w:val="en-US" w:eastAsia="zh-CN"/>
        </w:rPr>
        <w:t xml:space="preserve"> based on the proposals in [2] and [3], respectively</w:t>
      </w:r>
      <w:r>
        <w:rPr>
          <w:rFonts w:hint="eastAsia"/>
          <w:szCs w:val="21"/>
        </w:rPr>
        <w:t xml:space="preserve">.   </w:t>
      </w:r>
    </w:p>
    <w:p>
      <w:pPr>
        <w:pStyle w:val="2"/>
        <w:spacing w:before="120" w:after="120"/>
        <w:ind w:left="0"/>
      </w:pPr>
      <w:r>
        <w:rPr>
          <w:rFonts w:hint="eastAsia" w:eastAsia="宋体"/>
        </w:rPr>
        <w:t xml:space="preserve">Multiple multi-PUSCHs CG configurations </w:t>
      </w:r>
    </w:p>
    <w:p>
      <w:pPr>
        <w:spacing w:before="120" w:after="120"/>
      </w:pPr>
      <w:r>
        <w:t>Based on the discussion in</w:t>
      </w:r>
      <w:r>
        <w:rPr>
          <w:rFonts w:hint="eastAsia"/>
        </w:rPr>
        <w:t xml:space="preserve"> RAN1#114 meeting,</w:t>
      </w:r>
      <w:r>
        <w:t xml:space="preserve"> one of</w:t>
      </w:r>
      <w:r>
        <w:rPr>
          <w:rFonts w:hint="eastAsia"/>
        </w:rPr>
        <w:t xml:space="preserve"> the remaining issue</w:t>
      </w:r>
      <w:r>
        <w:t>s</w:t>
      </w:r>
      <w:r>
        <w:rPr>
          <w:rFonts w:hint="eastAsia"/>
        </w:rPr>
        <w:t xml:space="preserve"> is about </w:t>
      </w:r>
      <w:r>
        <w:rPr>
          <w:rFonts w:hint="eastAsia"/>
          <w:lang w:val="en-US" w:eastAsia="zh-CN"/>
        </w:rPr>
        <w:t xml:space="preserve">UE capability of </w:t>
      </w:r>
      <w:r>
        <w:rPr>
          <w:rFonts w:hint="eastAsia"/>
        </w:rPr>
        <w:t>whether</w:t>
      </w:r>
      <w:r>
        <w:t xml:space="preserve"> to</w:t>
      </w:r>
      <w:r>
        <w:rPr>
          <w:rFonts w:hint="eastAsia"/>
        </w:rPr>
        <w:t xml:space="preserve"> support multiple multi-PUSCHs CG configurations or not [2].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spacing w:before="120" w:after="120"/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/>
                <w:b/>
                <w:bCs/>
                <w:highlight w:val="green"/>
              </w:rPr>
              <w:t>Proposal 4-2:</w:t>
            </w:r>
          </w:p>
          <w:p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Select one of the following options:</w:t>
            </w:r>
          </w:p>
          <w:p>
            <w:pPr>
              <w:pStyle w:val="46"/>
              <w:numPr>
                <w:ilvl w:val="0"/>
                <w:numId w:val="6"/>
              </w:numPr>
              <w:spacing w:before="120" w:after="120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Option 1: Introduce a new capability to indicated maximum number of multi-PUSCH CG configurations (at least 2) per BWP of a serving cell and across all serving cells</w:t>
            </w:r>
          </w:p>
          <w:p>
            <w:pPr>
              <w:pStyle w:val="46"/>
              <w:numPr>
                <w:ilvl w:val="1"/>
                <w:numId w:val="6"/>
              </w:numPr>
              <w:spacing w:before="120" w:after="120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FG 50-1 as pre-requisite.</w:t>
            </w:r>
          </w:p>
          <w:p>
            <w:pPr>
              <w:pStyle w:val="46"/>
              <w:numPr>
                <w:ilvl w:val="1"/>
                <w:numId w:val="6"/>
              </w:numPr>
              <w:spacing w:before="120" w:after="120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FG 11-9 NOT as pre-requisite</w:t>
            </w:r>
          </w:p>
          <w:p>
            <w:pPr>
              <w:pStyle w:val="46"/>
              <w:numPr>
                <w:ilvl w:val="0"/>
                <w:numId w:val="6"/>
              </w:numPr>
              <w:spacing w:before="120" w:after="120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Option 2: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      </w:r>
          </w:p>
          <w:p>
            <w:pPr>
              <w:pStyle w:val="46"/>
              <w:numPr>
                <w:ilvl w:val="1"/>
                <w:numId w:val="6"/>
              </w:numPr>
              <w:spacing w:before="120" w:after="120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FG 50-1 as pre-requisite.</w:t>
            </w:r>
          </w:p>
          <w:p>
            <w:pPr>
              <w:pStyle w:val="46"/>
              <w:numPr>
                <w:ilvl w:val="1"/>
                <w:numId w:val="6"/>
              </w:numPr>
              <w:spacing w:before="120" w:after="120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FG 11-9 as pre-requisite</w:t>
            </w:r>
          </w:p>
          <w:p>
            <w:pPr>
              <w:pStyle w:val="46"/>
              <w:numPr>
                <w:ilvl w:val="0"/>
                <w:numId w:val="6"/>
              </w:numPr>
              <w:spacing w:before="120" w:after="120"/>
              <w:ind w:firstLine="400"/>
              <w:rPr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Option 3: Maximum number of multi-PUSCH CG configuration per BWP of a serving cell is one.</w:t>
            </w:r>
          </w:p>
        </w:tc>
      </w:tr>
    </w:tbl>
    <w:p>
      <w:pPr>
        <w:spacing w:before="120" w:after="120"/>
      </w:pPr>
      <w:r>
        <w:rPr>
          <w:rFonts w:hint="eastAsia"/>
        </w:rPr>
        <w:t>In our opinion, Option 1 or Option 2 is preferred. Since multi-flow is one of typical characteristic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of XR traffic, multiple multi-PUSCHs CG configurations is capable of providing flexibility for multi-flow transmission for XR traffic with minor specification impact. For example, multiple multi-PUSCHs CG configuration may be used in the transmission of FoV stream and non-FoV stream, which </w:t>
      </w:r>
      <w:r>
        <w:t>are</w:t>
      </w:r>
      <w:r>
        <w:rPr>
          <w:rFonts w:hint="eastAsia"/>
        </w:rPr>
        <w:t xml:space="preserve"> two different periodic video streams with variable packet size. </w:t>
      </w:r>
    </w:p>
    <w:p>
      <w:pPr>
        <w:pStyle w:val="61"/>
        <w:spacing w:before="120" w:after="120"/>
        <w:jc w:val="both"/>
        <w:rPr>
          <w:lang w:val="en-US" w:eastAsia="zh-CN"/>
        </w:rPr>
      </w:pPr>
      <w:bookmarkStart w:id="0" w:name="_Toc6047"/>
      <w:r>
        <w:rPr>
          <w:rFonts w:hint="eastAsia"/>
          <w:lang w:val="en-US" w:eastAsia="zh-CN"/>
        </w:rPr>
        <w:t>Support Option 1 or Option 2 for multiple multi-PUSCH CG configurations.</w:t>
      </w:r>
      <w:bookmarkEnd w:id="0"/>
    </w:p>
    <w:p>
      <w:pPr>
        <w:spacing w:before="120" w:after="120"/>
      </w:pPr>
      <w:r>
        <w:rPr>
          <w:rFonts w:hint="eastAsia"/>
        </w:rPr>
        <w:t xml:space="preserve">If multiple multi-PUSCH CG configurations is supported, two more UE features </w:t>
      </w:r>
      <w:r>
        <w:t>are needed</w:t>
      </w:r>
      <w:r>
        <w:rPr>
          <w:rFonts w:hint="eastAsia"/>
          <w:lang w:val="en-US" w:eastAsia="zh-CN"/>
        </w:rPr>
        <w:t>. Moreover, details are provided as in Appendix</w:t>
      </w:r>
    </w:p>
    <w:p>
      <w:pPr>
        <w:numPr>
          <w:ilvl w:val="0"/>
          <w:numId w:val="7"/>
        </w:numPr>
        <w:spacing w:before="120" w:after="120"/>
      </w:pPr>
      <w:r>
        <w:rPr>
          <w:rFonts w:hint="eastAsia"/>
        </w:rPr>
        <w:t>Multiple active multi-PUSCHs for configured grant for a BWP of a serving cell</w:t>
      </w:r>
    </w:p>
    <w:p>
      <w:pPr>
        <w:numPr>
          <w:ilvl w:val="0"/>
          <w:numId w:val="7"/>
        </w:numPr>
        <w:spacing w:before="120" w:after="120"/>
      </w:pPr>
      <w:r>
        <w:rPr>
          <w:rFonts w:hint="eastAsia"/>
        </w:rPr>
        <w:t>Joint release in a DCI for two or more multi-PUSCHs for configured grant Type 2 configurations for a given BWP of a serving cell</w:t>
      </w:r>
    </w:p>
    <w:p>
      <w:pPr>
        <w:pStyle w:val="61"/>
        <w:spacing w:before="120" w:after="120"/>
        <w:jc w:val="both"/>
        <w:rPr>
          <w:lang w:val="en-US" w:eastAsia="zh-CN"/>
        </w:rPr>
      </w:pPr>
      <w:bookmarkStart w:id="1" w:name="_Toc29891"/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following</w:t>
      </w:r>
      <w:r>
        <w:rPr>
          <w:rFonts w:hint="eastAsia"/>
          <w:lang w:val="en-US" w:eastAsia="zh-CN"/>
        </w:rPr>
        <w:t xml:space="preserve"> two new FGs should be added in FGs table:</w:t>
      </w:r>
      <w:bookmarkEnd w:id="1"/>
      <w:r>
        <w:rPr>
          <w:rFonts w:hint="eastAsia"/>
          <w:lang w:val="en-US" w:eastAsia="zh-CN"/>
        </w:rPr>
        <w:t xml:space="preserve"> </w:t>
      </w:r>
    </w:p>
    <w:p>
      <w:pPr>
        <w:pStyle w:val="61"/>
        <w:numPr>
          <w:ilvl w:val="0"/>
          <w:numId w:val="8"/>
        </w:numPr>
        <w:spacing w:before="120" w:after="120"/>
        <w:jc w:val="both"/>
        <w:rPr>
          <w:lang w:val="en-US" w:eastAsia="zh-CN"/>
        </w:rPr>
      </w:pPr>
      <w:bookmarkStart w:id="2" w:name="_Toc28863"/>
      <w:r>
        <w:rPr>
          <w:rFonts w:hint="eastAsia"/>
          <w:lang w:val="en-US" w:eastAsia="zh-CN"/>
        </w:rPr>
        <w:t>FG 50-x1: Multiple active multi-PUSCHs for configured grant for a BWP of a serving cell</w:t>
      </w:r>
      <w:bookmarkEnd w:id="2"/>
    </w:p>
    <w:p>
      <w:pPr>
        <w:pStyle w:val="61"/>
        <w:numPr>
          <w:ilvl w:val="0"/>
          <w:numId w:val="8"/>
        </w:numPr>
        <w:spacing w:before="120" w:after="120"/>
        <w:jc w:val="both"/>
        <w:rPr>
          <w:lang w:val="en-US" w:eastAsia="zh-CN"/>
        </w:rPr>
      </w:pPr>
      <w:bookmarkStart w:id="3" w:name="_Toc8515"/>
      <w:r>
        <w:rPr>
          <w:rFonts w:hint="eastAsia"/>
          <w:lang w:val="en-US" w:eastAsia="zh-CN"/>
        </w:rPr>
        <w:t>FG 50-x2: Joint release in a DCI for two or more multi-PUSCHs for configured grant Type 2 configurations for a given BWP of a serving cell.</w:t>
      </w:r>
      <w:bookmarkEnd w:id="3"/>
    </w:p>
    <w:p>
      <w:pPr>
        <w:pStyle w:val="2"/>
        <w:spacing w:before="120" w:after="120"/>
        <w:ind w:left="0"/>
      </w:pPr>
      <w:r>
        <w:rPr>
          <w:rFonts w:hint="eastAsia"/>
        </w:rPr>
        <w:t>Resumption of PDCCH monitoring after NACK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 </w:t>
      </w:r>
    </w:p>
    <w:p>
      <w:pPr>
        <w:spacing w:before="120" w:after="120"/>
      </w:pPr>
      <w:bookmarkStart w:id="4" w:name="_Toc29400"/>
      <w:bookmarkEnd w:id="4"/>
      <w:bookmarkStart w:id="5" w:name="_Toc29089"/>
      <w:bookmarkEnd w:id="5"/>
      <w:bookmarkStart w:id="6" w:name="_Toc82"/>
      <w:bookmarkEnd w:id="6"/>
      <w:bookmarkStart w:id="7" w:name="_Toc525"/>
      <w:bookmarkEnd w:id="7"/>
      <w:r>
        <w:rPr>
          <w:rFonts w:hint="eastAsia"/>
        </w:rPr>
        <w:t xml:space="preserve">In </w:t>
      </w:r>
      <w:r>
        <w:rPr>
          <w:rFonts w:hint="eastAsia"/>
          <w:lang w:val="en-US" w:eastAsia="zh-CN"/>
        </w:rPr>
        <w:t xml:space="preserve">RAN#101 meeting </w:t>
      </w:r>
      <w:r>
        <w:rPr>
          <w:rFonts w:hint="eastAsia"/>
        </w:rPr>
        <w:t>, the CR for PDCCH monitoring skipping has been endorsed</w:t>
      </w:r>
      <w:r>
        <w:rPr>
          <w:rFonts w:hint="eastAsia"/>
          <w:lang w:val="en-US" w:eastAsia="zh-CN"/>
        </w:rPr>
        <w:t xml:space="preserve"> [3]</w:t>
      </w:r>
      <w:r>
        <w:rPr>
          <w:rFonts w:hint="eastAsia"/>
        </w:rPr>
        <w:t xml:space="preserve">.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b/>
                <w:lang w:val="en-GB"/>
              </w:rPr>
            </w:pPr>
            <w:r>
              <w:rPr>
                <w:b/>
                <w:highlight w:val="green"/>
                <w:lang w:val="en-GB"/>
              </w:rPr>
              <w:t xml:space="preserve">Proposal </w:t>
            </w:r>
            <w:r>
              <w:rPr>
                <w:b/>
                <w:highlight w:val="green"/>
                <w:lang w:val="en-GB"/>
              </w:rPr>
              <w:fldChar w:fldCharType="begin"/>
            </w:r>
            <w:r>
              <w:rPr>
                <w:b/>
                <w:highlight w:val="green"/>
                <w:lang w:val="en-GB"/>
              </w:rPr>
              <w:instrText xml:space="preserve"> SEQ Proposal \* ARABIC </w:instrText>
            </w:r>
            <w:r>
              <w:rPr>
                <w:b/>
                <w:highlight w:val="green"/>
                <w:lang w:val="en-GB"/>
              </w:rPr>
              <w:fldChar w:fldCharType="separate"/>
            </w:r>
            <w:r>
              <w:rPr>
                <w:b/>
                <w:highlight w:val="green"/>
                <w:lang w:val="en-GB"/>
              </w:rPr>
              <w:t>1</w:t>
            </w:r>
            <w:r>
              <w:rPr>
                <w:b/>
                <w:highlight w:val="green"/>
                <w:lang w:val="en-GB"/>
              </w:rPr>
              <w:fldChar w:fldCharType="end"/>
            </w:r>
            <w:r>
              <w:rPr>
                <w:b/>
                <w:highlight w:val="green"/>
              </w:rPr>
              <w:t>:</w:t>
            </w:r>
            <w:r>
              <w:rPr>
                <w:b/>
                <w:lang w:val="en-GB"/>
              </w:rPr>
              <w:t xml:space="preserve"> RAN to agree to introduce the feature of "PDCCH monitoring resumption after UL NACK" in Rel-18 XR.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b/>
                <w:lang w:val="en-GB"/>
              </w:rPr>
            </w:pPr>
            <w:r>
              <w:rPr>
                <w:rFonts w:eastAsiaTheme="minorEastAsia"/>
                <w:b/>
                <w:lang w:val="en-GB"/>
              </w:rPr>
              <w:t>Following TP for TS 38.213 is endorsed.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b/>
                <w:lang w:val="en-GB"/>
              </w:rPr>
            </w:pPr>
            <w:r>
              <w:rPr>
                <w:rFonts w:eastAsiaTheme="minorEastAsia"/>
                <w:b/>
                <w:lang w:val="en-GB"/>
              </w:rPr>
              <w:t xml:space="preserve">A new RRC parameter (e.g., </w:t>
            </w:r>
            <w:r>
              <w:rPr>
                <w:rFonts w:eastAsiaTheme="minorEastAsia"/>
                <w:b/>
                <w:i/>
                <w:u w:val="single"/>
              </w:rPr>
              <w:t>PdcchMornitoringResumptionAfterNack</w:t>
            </w:r>
            <w:r>
              <w:rPr>
                <w:rFonts w:eastAsiaTheme="minorEastAsia"/>
                <w:b/>
                <w:iCs/>
              </w:rPr>
              <w:t>) is introduced.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b/>
                <w:lang w:val="en-GB"/>
              </w:rPr>
            </w:pPr>
            <w:r>
              <w:rPr>
                <w:rFonts w:eastAsiaTheme="minorEastAsia"/>
                <w:b/>
              </w:rPr>
              <w:t>An optional UE capability for the feature is introduced.</w:t>
            </w:r>
          </w:p>
          <w:p>
            <w:pPr>
              <w:spacing w:before="120" w:after="120"/>
            </w:pPr>
            <w:r>
              <w:rPr>
                <w:color w:val="FF0000"/>
                <w:u w:val="single"/>
              </w:rPr>
              <w:t>When the UE is configured with [</w:t>
            </w:r>
            <w:r>
              <w:rPr>
                <w:i/>
                <w:iCs/>
                <w:color w:val="FF0000"/>
                <w:u w:val="single"/>
              </w:rPr>
              <w:t>PdcchMornitoringResumptionAfterNack</w:t>
            </w:r>
            <w:r>
              <w:rPr>
                <w:color w:val="FF0000"/>
                <w:u w:val="single"/>
              </w:rPr>
              <w:t>], after the UE detects a DCI format providing the PDCCH monitoring adaptation field indicating to the UE to skip PDCCH monitoring for the duration on the active DL BWP of a serving cell, if the UE transmits a PUCCH or a PUSCH providing a NACK value due to incorrectly decoding a PDSCH scheduled by a DCI format received from the serving cell, the UE terminates PDCCH skipping, starting from the beginning of a first slot that is after a last symbol of the PUCCH or PUSCH transmission in the serving cell.</w:t>
            </w:r>
            <w:r>
              <w:rPr>
                <w:color w:val="FF0000"/>
              </w:rPr>
              <w:t xml:space="preserve"> </w:t>
            </w:r>
          </w:p>
        </w:tc>
      </w:tr>
    </w:tbl>
    <w:p>
      <w:pPr>
        <w:spacing w:before="120" w:after="120"/>
      </w:pPr>
      <w:r>
        <w:rPr>
          <w:rFonts w:hint="eastAsia"/>
          <w:lang w:val="en-US" w:eastAsia="zh-CN"/>
        </w:rPr>
        <w:t>In respect to this topic</w:t>
      </w:r>
      <w:r>
        <w:rPr>
          <w:rFonts w:hint="eastAsia"/>
        </w:rPr>
        <w:t>, an optional UE capability for the feature of PDCCH monitoring skipping enhan</w:t>
      </w:r>
      <w:r>
        <w:t xml:space="preserve">cement </w:t>
      </w:r>
      <w:r>
        <w:rPr>
          <w:rFonts w:hint="eastAsia"/>
        </w:rPr>
        <w:t>should be introduced. Therefore, we have the following proposal:</w:t>
      </w:r>
    </w:p>
    <w:p>
      <w:pPr>
        <w:pStyle w:val="61"/>
        <w:spacing w:before="120" w:after="120"/>
        <w:jc w:val="both"/>
        <w:rPr>
          <w:lang w:val="en-US" w:eastAsia="zh-CN"/>
        </w:rPr>
      </w:pPr>
      <w:bookmarkStart w:id="8" w:name="_Toc17981"/>
      <w:r>
        <w:rPr>
          <w:rFonts w:hint="eastAsia"/>
          <w:lang w:val="en-US" w:eastAsia="zh-CN"/>
        </w:rPr>
        <w:t>The new FG of PDCCH monitoring skipping should be added in FGs table, i.e., FG 50-x3: PDCCH monitoring resumption after NACK.</w:t>
      </w:r>
      <w:bookmarkEnd w:id="8"/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>
      <w:pPr>
        <w:spacing w:before="120" w:after="120"/>
        <w:rPr>
          <w:szCs w:val="22"/>
          <w:highlight w:val="yellow"/>
        </w:rPr>
      </w:pPr>
      <w:r>
        <w:rPr>
          <w:rFonts w:hint="eastAsia"/>
        </w:rPr>
        <w:t>In this contribution, we have the following observations/proposals:</w:t>
      </w:r>
    </w:p>
    <w:p>
      <w:pPr>
        <w:pStyle w:val="19"/>
        <w:tabs>
          <w:tab w:val="right" w:leader="dot" w:pos="9660"/>
          <w:tab w:val="clear" w:pos="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TOC \n  \t "YJ-Proposal,1,sub-proposal,2,3rd level proposal,3" \h</w:instrText>
      </w:r>
      <w:r>
        <w:rPr>
          <w:highlight w:val="yellow"/>
        </w:rPr>
        <w:fldChar w:fldCharType="separate"/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_Toc6047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1: </w:t>
      </w:r>
      <w:r>
        <w:rPr>
          <w:rFonts w:hint="eastAsia"/>
          <w:lang w:val="en-US" w:eastAsia="zh-CN"/>
        </w:rPr>
        <w:t>Support Option 1 or Option 2 for multiple multi-PUSCH CG configurations.</w:t>
      </w:r>
      <w:r>
        <w:rPr>
          <w:highlight w:val="yellow"/>
        </w:rPr>
        <w:fldChar w:fldCharType="end"/>
      </w:r>
    </w:p>
    <w:p>
      <w:pPr>
        <w:pStyle w:val="19"/>
        <w:tabs>
          <w:tab w:val="right" w:leader="dot" w:pos="9660"/>
          <w:tab w:val="clear" w:pos="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_Toc29891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2: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following</w:t>
      </w:r>
      <w:r>
        <w:rPr>
          <w:rFonts w:hint="eastAsia"/>
          <w:lang w:val="en-US" w:eastAsia="zh-CN"/>
        </w:rPr>
        <w:t xml:space="preserve"> two new FGs should be added in FGs table:</w:t>
      </w:r>
      <w:r>
        <w:rPr>
          <w:highlight w:val="yellow"/>
        </w:rPr>
        <w:fldChar w:fldCharType="end"/>
      </w:r>
    </w:p>
    <w:p>
      <w:pPr>
        <w:pStyle w:val="19"/>
        <w:tabs>
          <w:tab w:val="right" w:leader="dot" w:pos="9660"/>
          <w:tab w:val="clear" w:pos="0"/>
        </w:tabs>
        <w:ind w:leftChars="100"/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_Toc28863 </w:instrText>
      </w:r>
      <w:r>
        <w:rPr>
          <w:highlight w:val="yellow"/>
        </w:rPr>
        <w:fldChar w:fldCharType="separate"/>
      </w:r>
      <w:r>
        <w:rPr>
          <w:rFonts w:hint="default" w:ascii="Wingdings" w:hAnsi="Wingdings"/>
          <w:lang w:val="en-US" w:eastAsia="zh-CN"/>
        </w:rPr>
        <w:t xml:space="preserve"> </w:t>
      </w:r>
      <w:r>
        <w:rPr>
          <w:rFonts w:hint="eastAsia"/>
          <w:lang w:val="en-US" w:eastAsia="zh-CN"/>
        </w:rPr>
        <w:t>FG 50-x1: Multiple active multi-PUSCHs for configured grant for a BWP of a serving cell</w:t>
      </w:r>
      <w:r>
        <w:rPr>
          <w:highlight w:val="yellow"/>
        </w:rPr>
        <w:fldChar w:fldCharType="end"/>
      </w:r>
    </w:p>
    <w:p>
      <w:pPr>
        <w:pStyle w:val="19"/>
        <w:tabs>
          <w:tab w:val="right" w:leader="dot" w:pos="9660"/>
          <w:tab w:val="clear" w:pos="0"/>
        </w:tabs>
        <w:ind w:leftChars="100"/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_Toc8515 </w:instrText>
      </w:r>
      <w:r>
        <w:rPr>
          <w:highlight w:val="yellow"/>
        </w:rPr>
        <w:fldChar w:fldCharType="separate"/>
      </w:r>
      <w:r>
        <w:rPr>
          <w:rFonts w:hint="default" w:ascii="Wingdings" w:hAnsi="Wingdings"/>
          <w:lang w:val="en-US" w:eastAsia="zh-CN"/>
        </w:rPr>
        <w:t xml:space="preserve"> </w:t>
      </w:r>
      <w:r>
        <w:rPr>
          <w:rFonts w:hint="eastAsia"/>
          <w:lang w:val="en-US" w:eastAsia="zh-CN"/>
        </w:rPr>
        <w:t>FG 50-x2: Joint release in a DCI for two or more multi-PUSCHs for configured grant Type 2 configurations for a given BWP of a serving cell.</w:t>
      </w:r>
      <w:r>
        <w:rPr>
          <w:highlight w:val="yellow"/>
        </w:rPr>
        <w:fldChar w:fldCharType="end"/>
      </w:r>
    </w:p>
    <w:p>
      <w:pPr>
        <w:pStyle w:val="19"/>
        <w:tabs>
          <w:tab w:val="right" w:leader="dot" w:pos="9660"/>
          <w:tab w:val="clear" w:pos="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_Toc17981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3: </w:t>
      </w:r>
      <w:r>
        <w:rPr>
          <w:rFonts w:hint="eastAsia"/>
          <w:lang w:val="en-US" w:eastAsia="zh-CN"/>
        </w:rPr>
        <w:t>The new FG of PDCCH monitoring skipping should be added in FGs table, i.e., FG 50-x3: PDCCH monitoring resumption after NACK.</w:t>
      </w:r>
      <w:r>
        <w:rPr>
          <w:highlight w:val="yellow"/>
        </w:rPr>
        <w:fldChar w:fldCharType="end"/>
      </w:r>
    </w:p>
    <w:p>
      <w:pPr>
        <w:spacing w:before="120" w:after="120"/>
        <w:rPr>
          <w:szCs w:val="22"/>
        </w:rPr>
      </w:pPr>
      <w:r>
        <w:rPr>
          <w:highlight w:val="yellow"/>
        </w:rPr>
        <w:fldChar w:fldCharType="end"/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pStyle w:val="37"/>
        <w:spacing w:before="120" w:after="120"/>
        <w:ind w:left="363" w:hanging="363"/>
      </w:pPr>
      <w:r>
        <w:rPr>
          <w:rFonts w:hint="eastAsia"/>
        </w:rPr>
        <w:t xml:space="preserve">R1-2308513, </w:t>
      </w:r>
      <w:r>
        <w:t>“Session Notes for 9.16.10”</w:t>
      </w:r>
      <w:r>
        <w:rPr>
          <w:rFonts w:hint="eastAsia"/>
        </w:rPr>
        <w:t>, 3GPP TSG RAN WG1 #114, Toulouse, France, August 21st – August 25th, 2023.</w:t>
      </w:r>
    </w:p>
    <w:p>
      <w:pPr>
        <w:pStyle w:val="37"/>
        <w:spacing w:before="120" w:after="120"/>
        <w:ind w:left="363" w:hanging="363"/>
      </w:pPr>
      <w:r>
        <w:rPr>
          <w:rFonts w:hint="eastAsia"/>
        </w:rPr>
        <w:t>RAN1</w:t>
      </w:r>
      <w:r>
        <w:t>’</w:t>
      </w:r>
      <w:r>
        <w:rPr>
          <w:rFonts w:hint="eastAsia"/>
        </w:rPr>
        <w:t>s Chair notes, RAN1#114 meeting, Toulouse, France, August 21st–August 25th, 2023.</w:t>
      </w:r>
    </w:p>
    <w:p>
      <w:pPr>
        <w:pStyle w:val="37"/>
        <w:spacing w:before="120" w:after="120"/>
        <w:ind w:left="363" w:hanging="363"/>
      </w:pPr>
      <w:r>
        <w:rPr>
          <w:lang w:val="en-GB"/>
        </w:rPr>
        <w:t>RP-231820</w:t>
      </w:r>
      <w:r>
        <w:rPr>
          <w:rFonts w:hint="eastAsia"/>
        </w:rPr>
        <w:t xml:space="preserve">, </w:t>
      </w:r>
      <w:r>
        <w:t>“PDCCH monitoring resumption after UL NACK”</w:t>
      </w:r>
      <w:r>
        <w:rPr>
          <w:rFonts w:hint="eastAsia"/>
        </w:rPr>
        <w:t>, vivo, Qualcomm, ZTE, Sanechips, Ericsson, MediaTek, Huawei, HiSilicon, 3GPP TSG RAN Meeting #101, Bangalore, India, September 11-15, 2023.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Appendix</w:t>
      </w:r>
    </w:p>
    <w:tbl>
      <w:tblPr>
        <w:tblStyle w:val="23"/>
        <w:tblW w:w="517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679"/>
        <w:gridCol w:w="1142"/>
        <w:gridCol w:w="1436"/>
        <w:gridCol w:w="600"/>
        <w:gridCol w:w="1050"/>
        <w:gridCol w:w="1159"/>
        <w:gridCol w:w="545"/>
        <w:gridCol w:w="814"/>
        <w:gridCol w:w="728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</w:rPr>
              <w:t>Features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</w:rPr>
              <w:t>Index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before="120" w:after="12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hint="eastAsia" w:ascii="Arial" w:hAnsi="Arial"/>
                <w:b/>
                <w:bCs/>
                <w:sz w:val="16"/>
                <w:szCs w:val="16"/>
              </w:rPr>
              <w:t>Feature Group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Arial" w:hAnsi="Arial" w:eastAsia="MS Gothic" w:cs="Arial"/>
                <w:b/>
                <w:bCs/>
                <w:sz w:val="16"/>
                <w:szCs w:val="16"/>
                <w:lang w:eastAsia="ja-JP"/>
              </w:rPr>
            </w:pPr>
            <w:r>
              <w:rPr>
                <w:rFonts w:ascii="Arial" w:hAnsi="Arial" w:eastAsia="MS Gothic" w:cs="Arial"/>
                <w:b/>
                <w:bCs/>
                <w:sz w:val="16"/>
                <w:szCs w:val="16"/>
                <w:lang w:val="en-GB" w:eastAsia="ja-JP"/>
              </w:rPr>
              <w:t>Components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Prerequisite feature groups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Need for the gNB to know if the feature is supported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before="120" w:after="120"/>
              <w:jc w:val="center"/>
              <w:rPr>
                <w:rFonts w:ascii="Arial" w:hAnsi="Arial" w:eastAsia="MS Mincho"/>
                <w:b/>
                <w:bCs/>
                <w:sz w:val="16"/>
                <w:szCs w:val="16"/>
              </w:rPr>
            </w:pPr>
            <w:r>
              <w:rPr>
                <w:rFonts w:ascii="Arial" w:hAnsi="Arial" w:eastAsia="MS Mincho"/>
                <w:b/>
                <w:bCs/>
                <w:sz w:val="16"/>
                <w:szCs w:val="16"/>
                <w:lang w:val="en-GB" w:eastAsia="ja-JP"/>
              </w:rPr>
              <w:t>Consequence if the feature is not supported by the UE</w:t>
            </w:r>
          </w:p>
        </w:tc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before="120" w:beforeLines="0" w:after="120" w:afterLines="0" w:line="240" w:lineRule="auto"/>
              <w:jc w:val="left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b/>
                <w:kern w:val="0"/>
                <w:sz w:val="18"/>
                <w:szCs w:val="18"/>
                <w:lang w:val="en-GB" w:eastAsia="ja-JP"/>
              </w:rPr>
              <w:t>Type</w:t>
            </w:r>
          </w:p>
          <w:p>
            <w:pPr>
              <w:keepNext/>
              <w:keepLines/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before="120" w:after="120"/>
              <w:jc w:val="center"/>
              <w:rPr>
                <w:rFonts w:ascii="Arial" w:hAnsi="Arial" w:eastAsia="MS Mincho" w:cs="Arial"/>
                <w:b/>
                <w:bCs/>
                <w:sz w:val="16"/>
                <w:szCs w:val="16"/>
                <w:lang w:eastAsia="ja-JP"/>
              </w:rPr>
            </w:pPr>
            <w:r>
              <w:rPr>
                <w:rFonts w:ascii="Arial" w:hAnsi="Arial" w:eastAsia="Times New Roman" w:cs="Arial"/>
                <w:b/>
                <w:kern w:val="0"/>
                <w:sz w:val="18"/>
                <w:szCs w:val="18"/>
                <w:lang w:val="en-GB" w:eastAsia="ja-JP"/>
              </w:rPr>
              <w:t>Need of FDD/TDD differentiation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before="120" w:after="120"/>
              <w:jc w:val="center"/>
              <w:rPr>
                <w:rFonts w:ascii="Arial" w:hAnsi="Arial" w:eastAsia="MS Mincho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b/>
                <w:kern w:val="0"/>
                <w:sz w:val="18"/>
                <w:szCs w:val="18"/>
                <w:lang w:val="en-GB" w:eastAsia="ja-JP"/>
              </w:rPr>
              <w:t>Need of FR1/FR2 differentiation</w:t>
            </w:r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before="120" w:after="120"/>
              <w:jc w:val="center"/>
              <w:rPr>
                <w:rFonts w:ascii="Arial" w:hAnsi="Arial" w:eastAsia="MS Mincho" w:cs="Arial"/>
                <w:b/>
                <w:bCs/>
                <w:sz w:val="16"/>
                <w:szCs w:val="16"/>
                <w:lang w:eastAsia="ja-JP"/>
              </w:rPr>
            </w:pPr>
            <w:r>
              <w:rPr>
                <w:rFonts w:ascii="Arial" w:hAnsi="Arial" w:eastAsia="MS Mincho" w:cs="Arial"/>
                <w:b/>
                <w:bCs/>
                <w:sz w:val="16"/>
                <w:szCs w:val="16"/>
                <w:lang w:val="en-GB" w:eastAsia="ja-JP"/>
              </w:rPr>
              <w:t>Mandatory/Optional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sz w:val="16"/>
                <w:szCs w:val="16"/>
                <w:lang w:eastAsia="ja-JP"/>
              </w:rPr>
            </w:pPr>
            <w:r>
              <w:rPr>
                <w:rFonts w:ascii="Arial" w:hAnsi="Arial" w:eastAsia="MS Mincho" w:cs="Arial"/>
                <w:sz w:val="16"/>
                <w:szCs w:val="16"/>
                <w:lang w:eastAsia="ja-JP"/>
              </w:rPr>
              <w:t xml:space="preserve">50. </w:t>
            </w:r>
            <w:r>
              <w:rPr>
                <w:rFonts w:ascii="Arial" w:hAnsi="Arial" w:eastAsia="MS Mincho"/>
                <w:sz w:val="16"/>
                <w:szCs w:val="16"/>
              </w:rPr>
              <w:t>NR_XR_Enh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sz w:val="16"/>
                <w:szCs w:val="16"/>
                <w:lang w:eastAsia="ja-JP"/>
              </w:rPr>
            </w:pPr>
            <w:r>
              <w:rPr>
                <w:rFonts w:ascii="Arial" w:hAnsi="Arial" w:eastAsia="MS Mincho" w:cs="Arial"/>
                <w:sz w:val="16"/>
                <w:szCs w:val="16"/>
                <w:lang w:eastAsia="ja-JP"/>
              </w:rPr>
              <w:t>50-1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MS Mincho"/>
                <w:sz w:val="16"/>
                <w:szCs w:val="16"/>
              </w:rPr>
              <w:t>Multi-PUSCHs for Configured Grant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rFonts w:ascii="Arial" w:hAnsi="Arial" w:eastAsia="MS Gothic" w:cs="Arial"/>
                <w:sz w:val="16"/>
                <w:szCs w:val="16"/>
                <w:lang w:eastAsia="ja-JP"/>
              </w:rPr>
            </w:pPr>
            <w:r>
              <w:rPr>
                <w:rFonts w:ascii="Arial" w:hAnsi="Arial" w:eastAsia="MS Gothic" w:cs="Arial"/>
                <w:sz w:val="16"/>
                <w:szCs w:val="16"/>
                <w:lang w:eastAsia="ja-JP"/>
              </w:rPr>
              <w:t>1. Determination of time-domain resource allocation for CG-PUSCHs associated to a multi-PUSCHs CG</w:t>
            </w:r>
          </w:p>
          <w:p>
            <w:pPr>
              <w:spacing w:before="120" w:after="120"/>
              <w:rPr>
                <w:rFonts w:ascii="Arial" w:hAnsi="Arial" w:eastAsia="MS Gothic" w:cs="Arial"/>
                <w:sz w:val="16"/>
                <w:szCs w:val="16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sz w:val="16"/>
                <w:szCs w:val="16"/>
                <w:lang w:eastAsia="ja-JP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MS Mincho"/>
                <w:sz w:val="16"/>
                <w:szCs w:val="16"/>
              </w:rPr>
              <w:t>UE is not able to support Multi-PUSCHs per one period in Configured grant in licensed band</w:t>
            </w:r>
          </w:p>
        </w:tc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hint="default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Per UE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sz w:val="16"/>
                <w:szCs w:val="16"/>
                <w:lang w:eastAsia="ja-JP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sz w:val="16"/>
                <w:szCs w:val="16"/>
              </w:rPr>
            </w:pPr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sz w:val="16"/>
                <w:szCs w:val="16"/>
                <w:lang w:eastAsia="ja-JP"/>
              </w:rPr>
            </w:pPr>
            <w:r>
              <w:rPr>
                <w:rFonts w:ascii="Arial" w:hAnsi="Arial" w:eastAsia="MS Mincho" w:cs="Arial"/>
                <w:sz w:val="16"/>
                <w:szCs w:val="16"/>
                <w:lang w:eastAsia="ja-JP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sz w:val="16"/>
                <w:szCs w:val="16"/>
                <w:lang w:eastAsia="ja-JP"/>
              </w:rPr>
            </w:pPr>
            <w:r>
              <w:rPr>
                <w:rFonts w:ascii="Arial" w:hAnsi="Arial" w:eastAsia="MS Mincho" w:cs="Arial"/>
                <w:sz w:val="16"/>
                <w:szCs w:val="16"/>
                <w:lang w:eastAsia="ja-JP"/>
              </w:rPr>
              <w:t xml:space="preserve">50. </w:t>
            </w:r>
            <w:r>
              <w:rPr>
                <w:rFonts w:ascii="Arial" w:hAnsi="Arial" w:eastAsia="MS Mincho"/>
                <w:sz w:val="16"/>
                <w:szCs w:val="16"/>
              </w:rPr>
              <w:t>NR_XR_Enh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sz w:val="16"/>
                <w:szCs w:val="16"/>
                <w:lang w:eastAsia="ja-JP"/>
              </w:rPr>
            </w:pPr>
            <w:r>
              <w:rPr>
                <w:rFonts w:ascii="Arial" w:hAnsi="Arial" w:eastAsia="MS Mincho" w:cs="Arial"/>
                <w:sz w:val="16"/>
                <w:szCs w:val="16"/>
                <w:lang w:eastAsia="ja-JP"/>
              </w:rPr>
              <w:t>50-2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MS Mincho"/>
                <w:sz w:val="16"/>
                <w:szCs w:val="16"/>
              </w:rPr>
              <w:t>UCI indication of unused CG-PUSCH transmission occasions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rFonts w:ascii="Arial" w:hAnsi="Arial" w:eastAsia="MS Gothic" w:cs="Arial"/>
                <w:sz w:val="16"/>
                <w:szCs w:val="16"/>
                <w:lang w:eastAsia="ja-JP"/>
              </w:rPr>
            </w:pPr>
            <w:r>
              <w:rPr>
                <w:rFonts w:ascii="Arial" w:hAnsi="Arial" w:eastAsia="MS Gothic" w:cs="Arial"/>
                <w:sz w:val="16"/>
                <w:szCs w:val="16"/>
                <w:lang w:eastAsia="ja-JP"/>
              </w:rPr>
              <w:t>1. Multiplexing of the Unused transmission occasions UCI (UTO-UCI) on a CG-PUSCH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sz w:val="16"/>
                <w:szCs w:val="16"/>
                <w:lang w:eastAsia="ja-JP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is not able to indicate the unused resources in CG</w:t>
            </w:r>
          </w:p>
        </w:tc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hint="default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Per UE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sz w:val="16"/>
                <w:szCs w:val="16"/>
                <w:lang w:eastAsia="ja-JP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sz w:val="16"/>
                <w:szCs w:val="16"/>
              </w:rPr>
            </w:pPr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sz w:val="16"/>
                <w:szCs w:val="16"/>
                <w:lang w:eastAsia="ja-JP"/>
              </w:rPr>
            </w:pPr>
            <w:r>
              <w:rPr>
                <w:rFonts w:ascii="Arial" w:hAnsi="Arial" w:eastAsia="MS Mincho" w:cs="Arial"/>
                <w:sz w:val="16"/>
                <w:szCs w:val="16"/>
                <w:lang w:eastAsia="ja-JP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color w:val="FF0000"/>
                <w:sz w:val="16"/>
                <w:szCs w:val="16"/>
                <w:u w:val="none"/>
                <w:lang w:eastAsia="ja-JP"/>
              </w:rPr>
            </w:pPr>
            <w:r>
              <w:rPr>
                <w:rFonts w:ascii="Arial" w:hAnsi="Arial" w:eastAsia="MS Mincho" w:cs="Arial"/>
                <w:color w:val="FF0000"/>
                <w:sz w:val="16"/>
                <w:szCs w:val="16"/>
                <w:u w:val="none"/>
                <w:lang w:eastAsia="ja-JP"/>
              </w:rPr>
              <w:t xml:space="preserve">50. </w:t>
            </w:r>
            <w:r>
              <w:rPr>
                <w:rFonts w:ascii="Arial" w:hAnsi="Arial" w:eastAsia="MS Mincho"/>
                <w:color w:val="FF0000"/>
                <w:sz w:val="16"/>
                <w:szCs w:val="16"/>
                <w:u w:val="none"/>
              </w:rPr>
              <w:t>NR_XR_Enh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50-x1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/>
                <w:color w:val="FF0000"/>
                <w:sz w:val="16"/>
                <w:szCs w:val="16"/>
                <w:u w:val="none"/>
              </w:rPr>
              <w:t>Multiple active multi-PUSCHs for configured grant for a BWP of a serving cell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1.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ab/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 xml:space="preserve">Supports up to 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Xn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 xml:space="preserve"> configured/active 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 xml:space="preserve">multi-PUSCHs 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configured grant configurations in a BWP of a serving cell.</w:t>
            </w:r>
          </w:p>
          <w:p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-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  <w:lang w:val="en-US" w:eastAsia="zh-CN"/>
              </w:rPr>
              <w:t xml:space="preserve"> A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 xml:space="preserve">ctivation for different 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 xml:space="preserve">multi-PUSCHs 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configured grant Type 2 configurations</w:t>
            </w:r>
          </w:p>
          <w:p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-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ab/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highlight w:val="none"/>
                <w:u w:val="none"/>
                <w:lang w:eastAsia="zh-CN"/>
              </w:rPr>
              <w:t>R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none"/>
                <w:u w:val="none"/>
              </w:rPr>
              <w:t xml:space="preserve">elease for different 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 xml:space="preserve">multi-PUSCHs 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configured grant Type 2 configurations</w:t>
            </w:r>
          </w:p>
          <w:p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2.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ab/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 xml:space="preserve">Supported maximum number of configured/active 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 xml:space="preserve">multi-PUSCHs 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configured grant configurations in a BWP of a serving cell</w:t>
            </w:r>
          </w:p>
          <w:p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 xml:space="preserve">Candidate values for component 2: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none"/>
                <w:u w:val="none"/>
              </w:rPr>
              <w:t>{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X1,X2,...,Xn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none"/>
                <w:u w:val="none"/>
              </w:rPr>
              <w:t>}</w:t>
            </w:r>
          </w:p>
          <w:p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3.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ab/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 xml:space="preserve">Supported maximum number of configured/active 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 xml:space="preserve">multi-PUSCHs 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configured grant configurations across all serving cells, and across MCG and SCG in case of NR-DC</w:t>
            </w:r>
          </w:p>
          <w:p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 xml:space="preserve">Candidate values for component 3: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none"/>
                <w:u w:val="none"/>
              </w:rPr>
              <w:t>{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Y1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none"/>
                <w:u w:val="none"/>
              </w:rPr>
              <w:t xml:space="preserve">, …, 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Yn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none"/>
                <w:u w:val="none"/>
              </w:rPr>
              <w:t>}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color w:val="FF0000"/>
                <w:sz w:val="16"/>
                <w:szCs w:val="16"/>
                <w:u w:val="none"/>
                <w:lang w:eastAsia="ja-JP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Yes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 xml:space="preserve">UE is not able to configure multiple  multi-PUSCHs CG configurations </w:t>
            </w:r>
          </w:p>
        </w:tc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  <w:lang w:val="en-GB"/>
              </w:rPr>
              <w:t>Per UE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No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No</w:t>
            </w:r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color w:val="FF0000"/>
                <w:sz w:val="16"/>
                <w:szCs w:val="16"/>
                <w:u w:val="none"/>
                <w:lang w:eastAsia="ja-JP"/>
              </w:rPr>
            </w:pPr>
            <w:r>
              <w:rPr>
                <w:rFonts w:ascii="Arial" w:hAnsi="Arial" w:eastAsia="MS Mincho" w:cs="Arial"/>
                <w:color w:val="FF0000"/>
                <w:sz w:val="16"/>
                <w:szCs w:val="16"/>
                <w:u w:val="none"/>
                <w:lang w:eastAsia="ja-JP"/>
              </w:rPr>
              <w:t xml:space="preserve">50. </w:t>
            </w:r>
            <w:r>
              <w:rPr>
                <w:rFonts w:ascii="Arial" w:hAnsi="Arial" w:eastAsia="MS Mincho"/>
                <w:color w:val="FF0000"/>
                <w:sz w:val="16"/>
                <w:szCs w:val="16"/>
                <w:u w:val="none"/>
              </w:rPr>
              <w:t>NR_XR_Enh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50-x2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/>
                <w:color w:val="FF0000"/>
                <w:sz w:val="16"/>
                <w:szCs w:val="16"/>
                <w:u w:val="none"/>
              </w:rPr>
              <w:t>Joint release in a DCI for two or more configured grant Type 2 configurations for a given BWP of a serving cell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 xml:space="preserve">M&lt;=4 bits indication in the Release DCI is used for indicating which 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 xml:space="preserve">multi-PUSCHs 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CG configuration(s) is/are released, where the association between each state indicated by the indication and the CG configuration(s) is</w:t>
            </w:r>
          </w:p>
          <w:p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-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ab/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Up to 2^M states are higher layer configurable, where each of the state can be mapped to a single or multiple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 xml:space="preserve"> multi-PUSCHs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 xml:space="preserve"> CG configurations to be released</w:t>
            </w:r>
          </w:p>
          <w:p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-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ab/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 xml:space="preserve">In case of no higher layer configured state(s), separate release is used where the release corresponds to the </w:t>
            </w: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 xml:space="preserve">multi-PUSCHs 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  <w:t>CG configuration index indicated by the indication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color w:val="FF0000"/>
                <w:sz w:val="16"/>
                <w:szCs w:val="16"/>
                <w:u w:val="none"/>
                <w:lang w:eastAsia="ja-JP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50-x1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Yes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 xml:space="preserve">UE is not able to jointly release multiple  multi-PUSCHs CG configurations </w:t>
            </w:r>
          </w:p>
        </w:tc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  <w:lang w:val="en-GB"/>
              </w:rPr>
              <w:t>Per UE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  <w:lang w:eastAsia="ja-JP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No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No</w:t>
            </w:r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eastAsia="MS Mincho" w:cs="Arial"/>
                <w:color w:val="FF0000"/>
                <w:sz w:val="16"/>
                <w:szCs w:val="16"/>
                <w:u w:val="none"/>
                <w:lang w:eastAsia="ja-JP"/>
              </w:rPr>
            </w:pPr>
            <w:r>
              <w:rPr>
                <w:rFonts w:ascii="Arial" w:hAnsi="Arial" w:eastAsia="MS Mincho" w:cs="Arial"/>
                <w:color w:val="FF0000"/>
                <w:sz w:val="16"/>
                <w:szCs w:val="16"/>
                <w:u w:val="none"/>
                <w:lang w:eastAsia="ja-JP"/>
              </w:rPr>
              <w:t xml:space="preserve">50. </w:t>
            </w:r>
            <w:r>
              <w:rPr>
                <w:rFonts w:ascii="Arial" w:hAnsi="Arial" w:eastAsia="MS Mincho"/>
                <w:color w:val="FF0000"/>
                <w:sz w:val="16"/>
                <w:szCs w:val="16"/>
                <w:u w:val="none"/>
              </w:rPr>
              <w:t>NR_XR_Enh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50-x3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/>
                <w:color w:val="FF0000"/>
                <w:sz w:val="16"/>
                <w:szCs w:val="16"/>
                <w:u w:val="none"/>
              </w:rPr>
              <w:t>PDCCH monitoring resumption after NACK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29-3</w:t>
            </w:r>
          </w:p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29-3d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Yes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UE is not able to resume PDCCH monitoring  after NACK</w:t>
            </w:r>
          </w:p>
        </w:tc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u w:val="none"/>
                <w:lang w:val="en-GB"/>
              </w:rPr>
              <w:t>Per UE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  <w:lang w:eastAsia="ja-JP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No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No</w:t>
            </w:r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Arial" w:hAnsi="Arial" w:cs="Arial"/>
                <w:color w:val="FF0000"/>
                <w:sz w:val="16"/>
                <w:szCs w:val="16"/>
                <w:u w:val="none"/>
              </w:rPr>
              <w:t>Optional with capability signaling</w:t>
            </w:r>
          </w:p>
        </w:tc>
      </w:tr>
    </w:tbl>
    <w:p>
      <w:pPr>
        <w:pStyle w:val="37"/>
        <w:numPr>
          <w:ilvl w:val="0"/>
          <w:numId w:val="0"/>
        </w:numPr>
        <w:spacing w:before="120" w:after="120"/>
        <w:rPr>
          <w:color w:val="FF000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7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34B193"/>
    <w:multiLevelType w:val="singleLevel"/>
    <w:tmpl w:val="AB34B193"/>
    <w:lvl w:ilvl="0" w:tentative="0">
      <w:start w:val="1"/>
      <w:numFmt w:val="decimal"/>
      <w:pStyle w:val="58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</w:abstractNum>
  <w:abstractNum w:abstractNumId="1">
    <w:nsid w:val="BD0CA652"/>
    <w:multiLevelType w:val="multilevel"/>
    <w:tmpl w:val="BD0CA652"/>
    <w:lvl w:ilvl="0" w:tentative="0">
      <w:start w:val="1"/>
      <w:numFmt w:val="decimal"/>
      <w:pStyle w:val="6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CA1FDDE6"/>
    <w:multiLevelType w:val="singleLevel"/>
    <w:tmpl w:val="CA1FDDE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05065AD1"/>
    <w:multiLevelType w:val="multilevel"/>
    <w:tmpl w:val="05065AD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2977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0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2C5F6AB4"/>
    <w:multiLevelType w:val="multilevel"/>
    <w:tmpl w:val="2C5F6AB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057666D"/>
    <w:multiLevelType w:val="singleLevel"/>
    <w:tmpl w:val="3057666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3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6D74394F"/>
    <w:multiLevelType w:val="multilevel"/>
    <w:tmpl w:val="6D74394F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0423"/>
    <w:rsid w:val="00051F4E"/>
    <w:rsid w:val="000529AC"/>
    <w:rsid w:val="00072FB0"/>
    <w:rsid w:val="00093DF3"/>
    <w:rsid w:val="000A15BE"/>
    <w:rsid w:val="000C1A96"/>
    <w:rsid w:val="000D0462"/>
    <w:rsid w:val="000E2433"/>
    <w:rsid w:val="000F28CA"/>
    <w:rsid w:val="00103906"/>
    <w:rsid w:val="00142961"/>
    <w:rsid w:val="001470AA"/>
    <w:rsid w:val="00153BF7"/>
    <w:rsid w:val="0016113B"/>
    <w:rsid w:val="001632AB"/>
    <w:rsid w:val="00172A27"/>
    <w:rsid w:val="001754AE"/>
    <w:rsid w:val="0018732E"/>
    <w:rsid w:val="00191912"/>
    <w:rsid w:val="00195F46"/>
    <w:rsid w:val="001B3634"/>
    <w:rsid w:val="001C1894"/>
    <w:rsid w:val="001C196F"/>
    <w:rsid w:val="001D1287"/>
    <w:rsid w:val="001E125B"/>
    <w:rsid w:val="001E262F"/>
    <w:rsid w:val="001F1BB1"/>
    <w:rsid w:val="001F415E"/>
    <w:rsid w:val="001F6E58"/>
    <w:rsid w:val="0020406B"/>
    <w:rsid w:val="00212872"/>
    <w:rsid w:val="00216169"/>
    <w:rsid w:val="002240E1"/>
    <w:rsid w:val="00224A1A"/>
    <w:rsid w:val="00227DF5"/>
    <w:rsid w:val="002320CA"/>
    <w:rsid w:val="002401EC"/>
    <w:rsid w:val="00243B44"/>
    <w:rsid w:val="00244ABB"/>
    <w:rsid w:val="00247A67"/>
    <w:rsid w:val="00251814"/>
    <w:rsid w:val="00256B05"/>
    <w:rsid w:val="00261C72"/>
    <w:rsid w:val="0026766E"/>
    <w:rsid w:val="002748A9"/>
    <w:rsid w:val="00282069"/>
    <w:rsid w:val="002B4661"/>
    <w:rsid w:val="002C4448"/>
    <w:rsid w:val="002C68AC"/>
    <w:rsid w:val="002C7CCD"/>
    <w:rsid w:val="002F037D"/>
    <w:rsid w:val="002F0E7A"/>
    <w:rsid w:val="002F2535"/>
    <w:rsid w:val="002F5687"/>
    <w:rsid w:val="002F5A8D"/>
    <w:rsid w:val="00302F20"/>
    <w:rsid w:val="00303936"/>
    <w:rsid w:val="00314748"/>
    <w:rsid w:val="00316046"/>
    <w:rsid w:val="00317501"/>
    <w:rsid w:val="00322EE2"/>
    <w:rsid w:val="00325902"/>
    <w:rsid w:val="003275A3"/>
    <w:rsid w:val="00332D30"/>
    <w:rsid w:val="0033573E"/>
    <w:rsid w:val="00335FF9"/>
    <w:rsid w:val="0034009F"/>
    <w:rsid w:val="00340631"/>
    <w:rsid w:val="00343CE4"/>
    <w:rsid w:val="00344E48"/>
    <w:rsid w:val="003466BB"/>
    <w:rsid w:val="0035253F"/>
    <w:rsid w:val="00361D52"/>
    <w:rsid w:val="003704FF"/>
    <w:rsid w:val="00370D7F"/>
    <w:rsid w:val="00372A00"/>
    <w:rsid w:val="00373667"/>
    <w:rsid w:val="00376E4B"/>
    <w:rsid w:val="00376EEB"/>
    <w:rsid w:val="003872BB"/>
    <w:rsid w:val="00396F31"/>
    <w:rsid w:val="00397BA3"/>
    <w:rsid w:val="003A1DCE"/>
    <w:rsid w:val="003A4365"/>
    <w:rsid w:val="003A6BBE"/>
    <w:rsid w:val="003A7EAD"/>
    <w:rsid w:val="003B53DF"/>
    <w:rsid w:val="003D44C6"/>
    <w:rsid w:val="003F7415"/>
    <w:rsid w:val="004003D2"/>
    <w:rsid w:val="00417C55"/>
    <w:rsid w:val="004209E1"/>
    <w:rsid w:val="0042238B"/>
    <w:rsid w:val="00424C58"/>
    <w:rsid w:val="00450C17"/>
    <w:rsid w:val="004527B1"/>
    <w:rsid w:val="004545A5"/>
    <w:rsid w:val="004608F6"/>
    <w:rsid w:val="004724B4"/>
    <w:rsid w:val="00472B06"/>
    <w:rsid w:val="00477655"/>
    <w:rsid w:val="0048120F"/>
    <w:rsid w:val="00482706"/>
    <w:rsid w:val="00490434"/>
    <w:rsid w:val="004A142B"/>
    <w:rsid w:val="004A5D1D"/>
    <w:rsid w:val="004A699E"/>
    <w:rsid w:val="004B44A9"/>
    <w:rsid w:val="004C1A54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B22"/>
    <w:rsid w:val="00546436"/>
    <w:rsid w:val="00547723"/>
    <w:rsid w:val="00564BCB"/>
    <w:rsid w:val="00572F6E"/>
    <w:rsid w:val="00574776"/>
    <w:rsid w:val="0058526A"/>
    <w:rsid w:val="0059321F"/>
    <w:rsid w:val="00593818"/>
    <w:rsid w:val="005A05C6"/>
    <w:rsid w:val="005A0FE9"/>
    <w:rsid w:val="005B77A5"/>
    <w:rsid w:val="005C6B42"/>
    <w:rsid w:val="005D6A1C"/>
    <w:rsid w:val="005E2C89"/>
    <w:rsid w:val="005F26E5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2298"/>
    <w:rsid w:val="00646EAA"/>
    <w:rsid w:val="006501AA"/>
    <w:rsid w:val="006536B8"/>
    <w:rsid w:val="00654F58"/>
    <w:rsid w:val="00676C72"/>
    <w:rsid w:val="00680FFF"/>
    <w:rsid w:val="00691376"/>
    <w:rsid w:val="006922EF"/>
    <w:rsid w:val="00694EF8"/>
    <w:rsid w:val="00694FB9"/>
    <w:rsid w:val="006C2229"/>
    <w:rsid w:val="006C55B1"/>
    <w:rsid w:val="006C69C1"/>
    <w:rsid w:val="006D11DE"/>
    <w:rsid w:val="006D3D89"/>
    <w:rsid w:val="006E01C3"/>
    <w:rsid w:val="006F4852"/>
    <w:rsid w:val="00700636"/>
    <w:rsid w:val="00701BF9"/>
    <w:rsid w:val="007036F7"/>
    <w:rsid w:val="0070691A"/>
    <w:rsid w:val="0070693A"/>
    <w:rsid w:val="00717A38"/>
    <w:rsid w:val="0073053B"/>
    <w:rsid w:val="00735DC1"/>
    <w:rsid w:val="007427BB"/>
    <w:rsid w:val="007440A2"/>
    <w:rsid w:val="00745143"/>
    <w:rsid w:val="00747C56"/>
    <w:rsid w:val="007501AC"/>
    <w:rsid w:val="00762F1B"/>
    <w:rsid w:val="0076682E"/>
    <w:rsid w:val="0077581A"/>
    <w:rsid w:val="0077761A"/>
    <w:rsid w:val="00784828"/>
    <w:rsid w:val="00785A2A"/>
    <w:rsid w:val="00786A2C"/>
    <w:rsid w:val="00787FA9"/>
    <w:rsid w:val="007A0CD8"/>
    <w:rsid w:val="007B0FD9"/>
    <w:rsid w:val="007B458B"/>
    <w:rsid w:val="007C4328"/>
    <w:rsid w:val="007C440F"/>
    <w:rsid w:val="007E4A23"/>
    <w:rsid w:val="007F39F4"/>
    <w:rsid w:val="00802A15"/>
    <w:rsid w:val="00810C42"/>
    <w:rsid w:val="00816EF3"/>
    <w:rsid w:val="008266C4"/>
    <w:rsid w:val="008412CD"/>
    <w:rsid w:val="0084332A"/>
    <w:rsid w:val="00847621"/>
    <w:rsid w:val="00852635"/>
    <w:rsid w:val="0085443B"/>
    <w:rsid w:val="00857E93"/>
    <w:rsid w:val="008652E8"/>
    <w:rsid w:val="00870679"/>
    <w:rsid w:val="00870E40"/>
    <w:rsid w:val="00886E49"/>
    <w:rsid w:val="00886EA7"/>
    <w:rsid w:val="00892B4C"/>
    <w:rsid w:val="00893268"/>
    <w:rsid w:val="0089344F"/>
    <w:rsid w:val="00894520"/>
    <w:rsid w:val="008A72B5"/>
    <w:rsid w:val="008B3130"/>
    <w:rsid w:val="008B547D"/>
    <w:rsid w:val="008B5C48"/>
    <w:rsid w:val="008B7F10"/>
    <w:rsid w:val="008C0445"/>
    <w:rsid w:val="008F255E"/>
    <w:rsid w:val="008F3DC8"/>
    <w:rsid w:val="00903A35"/>
    <w:rsid w:val="00922624"/>
    <w:rsid w:val="00923BDA"/>
    <w:rsid w:val="0093617A"/>
    <w:rsid w:val="009411A5"/>
    <w:rsid w:val="00946A7C"/>
    <w:rsid w:val="00950DB1"/>
    <w:rsid w:val="00952C83"/>
    <w:rsid w:val="00957418"/>
    <w:rsid w:val="009610C6"/>
    <w:rsid w:val="0096194F"/>
    <w:rsid w:val="00966E7D"/>
    <w:rsid w:val="00970630"/>
    <w:rsid w:val="00971A1F"/>
    <w:rsid w:val="009734B7"/>
    <w:rsid w:val="00983FE2"/>
    <w:rsid w:val="00986B97"/>
    <w:rsid w:val="00994A41"/>
    <w:rsid w:val="009A380A"/>
    <w:rsid w:val="009A3A36"/>
    <w:rsid w:val="009A4F31"/>
    <w:rsid w:val="009B05AD"/>
    <w:rsid w:val="009B18A3"/>
    <w:rsid w:val="009B5557"/>
    <w:rsid w:val="009D6400"/>
    <w:rsid w:val="009D7770"/>
    <w:rsid w:val="009D7C12"/>
    <w:rsid w:val="009F65A8"/>
    <w:rsid w:val="009F7747"/>
    <w:rsid w:val="00A05A33"/>
    <w:rsid w:val="00A14F22"/>
    <w:rsid w:val="00A171E5"/>
    <w:rsid w:val="00A17810"/>
    <w:rsid w:val="00A21523"/>
    <w:rsid w:val="00A26720"/>
    <w:rsid w:val="00A33BD9"/>
    <w:rsid w:val="00A40C3F"/>
    <w:rsid w:val="00A4182C"/>
    <w:rsid w:val="00A50B2A"/>
    <w:rsid w:val="00A51CDD"/>
    <w:rsid w:val="00A54A48"/>
    <w:rsid w:val="00A551E2"/>
    <w:rsid w:val="00A56849"/>
    <w:rsid w:val="00A656E5"/>
    <w:rsid w:val="00A809DB"/>
    <w:rsid w:val="00A86EB5"/>
    <w:rsid w:val="00A91773"/>
    <w:rsid w:val="00A92854"/>
    <w:rsid w:val="00A92CA8"/>
    <w:rsid w:val="00AA1889"/>
    <w:rsid w:val="00AB0AAF"/>
    <w:rsid w:val="00AB251B"/>
    <w:rsid w:val="00AB5108"/>
    <w:rsid w:val="00AB6D34"/>
    <w:rsid w:val="00AC24BF"/>
    <w:rsid w:val="00AD56C4"/>
    <w:rsid w:val="00AD7FE5"/>
    <w:rsid w:val="00AE5530"/>
    <w:rsid w:val="00B031EF"/>
    <w:rsid w:val="00B11405"/>
    <w:rsid w:val="00B138E9"/>
    <w:rsid w:val="00B179E3"/>
    <w:rsid w:val="00B245AA"/>
    <w:rsid w:val="00B34FF8"/>
    <w:rsid w:val="00B43645"/>
    <w:rsid w:val="00B54730"/>
    <w:rsid w:val="00B56091"/>
    <w:rsid w:val="00B60F6C"/>
    <w:rsid w:val="00B663FA"/>
    <w:rsid w:val="00B76824"/>
    <w:rsid w:val="00B81C3C"/>
    <w:rsid w:val="00B87AB7"/>
    <w:rsid w:val="00BA72B7"/>
    <w:rsid w:val="00BA7674"/>
    <w:rsid w:val="00BB08C4"/>
    <w:rsid w:val="00BD72A5"/>
    <w:rsid w:val="00BE22EC"/>
    <w:rsid w:val="00BE5D22"/>
    <w:rsid w:val="00BF526E"/>
    <w:rsid w:val="00BF743C"/>
    <w:rsid w:val="00C07C74"/>
    <w:rsid w:val="00C12784"/>
    <w:rsid w:val="00C16276"/>
    <w:rsid w:val="00C2142E"/>
    <w:rsid w:val="00C22FCF"/>
    <w:rsid w:val="00C2334E"/>
    <w:rsid w:val="00C2713A"/>
    <w:rsid w:val="00C34FD0"/>
    <w:rsid w:val="00C625E3"/>
    <w:rsid w:val="00C67AE3"/>
    <w:rsid w:val="00C76271"/>
    <w:rsid w:val="00C829B3"/>
    <w:rsid w:val="00C855D2"/>
    <w:rsid w:val="00C922BC"/>
    <w:rsid w:val="00C925E7"/>
    <w:rsid w:val="00CA09F5"/>
    <w:rsid w:val="00CA152B"/>
    <w:rsid w:val="00CB03D7"/>
    <w:rsid w:val="00CB046A"/>
    <w:rsid w:val="00CB7FB3"/>
    <w:rsid w:val="00CC01B0"/>
    <w:rsid w:val="00CC11A8"/>
    <w:rsid w:val="00CD5E4A"/>
    <w:rsid w:val="00CD62C4"/>
    <w:rsid w:val="00CE32ED"/>
    <w:rsid w:val="00CF0062"/>
    <w:rsid w:val="00CF25E8"/>
    <w:rsid w:val="00CF4293"/>
    <w:rsid w:val="00D06F00"/>
    <w:rsid w:val="00D14578"/>
    <w:rsid w:val="00D24465"/>
    <w:rsid w:val="00D27BF8"/>
    <w:rsid w:val="00D30D70"/>
    <w:rsid w:val="00D30FF6"/>
    <w:rsid w:val="00D54F1B"/>
    <w:rsid w:val="00D57D7B"/>
    <w:rsid w:val="00D60DA9"/>
    <w:rsid w:val="00D701BB"/>
    <w:rsid w:val="00D714E2"/>
    <w:rsid w:val="00D7289E"/>
    <w:rsid w:val="00D82051"/>
    <w:rsid w:val="00D82CF5"/>
    <w:rsid w:val="00D838A0"/>
    <w:rsid w:val="00D871C4"/>
    <w:rsid w:val="00D8785A"/>
    <w:rsid w:val="00D91349"/>
    <w:rsid w:val="00D92E3B"/>
    <w:rsid w:val="00DB0E95"/>
    <w:rsid w:val="00DB12AD"/>
    <w:rsid w:val="00DC0C4F"/>
    <w:rsid w:val="00DC1213"/>
    <w:rsid w:val="00DC6E1E"/>
    <w:rsid w:val="00DC70F6"/>
    <w:rsid w:val="00DC724A"/>
    <w:rsid w:val="00DD5F49"/>
    <w:rsid w:val="00DF4482"/>
    <w:rsid w:val="00E05651"/>
    <w:rsid w:val="00E068AA"/>
    <w:rsid w:val="00E258FC"/>
    <w:rsid w:val="00E30348"/>
    <w:rsid w:val="00E339EA"/>
    <w:rsid w:val="00E52879"/>
    <w:rsid w:val="00E55791"/>
    <w:rsid w:val="00E56340"/>
    <w:rsid w:val="00E67009"/>
    <w:rsid w:val="00E704FD"/>
    <w:rsid w:val="00E74935"/>
    <w:rsid w:val="00E75D6F"/>
    <w:rsid w:val="00E8609B"/>
    <w:rsid w:val="00E92BF0"/>
    <w:rsid w:val="00E94718"/>
    <w:rsid w:val="00E95FFE"/>
    <w:rsid w:val="00EA0820"/>
    <w:rsid w:val="00EB70EA"/>
    <w:rsid w:val="00ED0DCA"/>
    <w:rsid w:val="00ED47A7"/>
    <w:rsid w:val="00EE1EE7"/>
    <w:rsid w:val="00F019E9"/>
    <w:rsid w:val="00F05DFC"/>
    <w:rsid w:val="00F072E8"/>
    <w:rsid w:val="00F143A1"/>
    <w:rsid w:val="00F1480F"/>
    <w:rsid w:val="00F179F3"/>
    <w:rsid w:val="00F2072B"/>
    <w:rsid w:val="00F34277"/>
    <w:rsid w:val="00F4372E"/>
    <w:rsid w:val="00F453FE"/>
    <w:rsid w:val="00F71825"/>
    <w:rsid w:val="00F80169"/>
    <w:rsid w:val="00F81514"/>
    <w:rsid w:val="00F82200"/>
    <w:rsid w:val="00F86352"/>
    <w:rsid w:val="00F87040"/>
    <w:rsid w:val="00F95A32"/>
    <w:rsid w:val="00FA3FD9"/>
    <w:rsid w:val="00FA6AF6"/>
    <w:rsid w:val="00FA7D65"/>
    <w:rsid w:val="00FB593A"/>
    <w:rsid w:val="00FC20D8"/>
    <w:rsid w:val="00FC72FB"/>
    <w:rsid w:val="00FE0900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817C6C"/>
    <w:rsid w:val="03F50BF8"/>
    <w:rsid w:val="03F757EE"/>
    <w:rsid w:val="040D5006"/>
    <w:rsid w:val="04176B15"/>
    <w:rsid w:val="04250069"/>
    <w:rsid w:val="04332B60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A35DC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332A7"/>
    <w:rsid w:val="0A1434BD"/>
    <w:rsid w:val="0A177598"/>
    <w:rsid w:val="0A2A0A4E"/>
    <w:rsid w:val="0A33259C"/>
    <w:rsid w:val="0A670FF2"/>
    <w:rsid w:val="0A90240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641CE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6718A8"/>
    <w:rsid w:val="0D8A5C4C"/>
    <w:rsid w:val="0D9D3B84"/>
    <w:rsid w:val="0DA826B2"/>
    <w:rsid w:val="0DC46801"/>
    <w:rsid w:val="0DD03A03"/>
    <w:rsid w:val="0DDA5E6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135C77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232CF9"/>
    <w:rsid w:val="16262029"/>
    <w:rsid w:val="16397749"/>
    <w:rsid w:val="16406CEA"/>
    <w:rsid w:val="16562259"/>
    <w:rsid w:val="165B3324"/>
    <w:rsid w:val="165C650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8762F"/>
    <w:rsid w:val="1A6D533B"/>
    <w:rsid w:val="1A9D156F"/>
    <w:rsid w:val="1AA80D9B"/>
    <w:rsid w:val="1AA847EC"/>
    <w:rsid w:val="1AAD0BB3"/>
    <w:rsid w:val="1AB66DEC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9F1651"/>
    <w:rsid w:val="1CEB46F7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7E73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C62F4"/>
    <w:rsid w:val="2A5F0A9A"/>
    <w:rsid w:val="2A802A87"/>
    <w:rsid w:val="2A931BB9"/>
    <w:rsid w:val="2A9D346A"/>
    <w:rsid w:val="2AB51A38"/>
    <w:rsid w:val="2AB903D8"/>
    <w:rsid w:val="2ACD6CCC"/>
    <w:rsid w:val="2ADF720A"/>
    <w:rsid w:val="2AEE4512"/>
    <w:rsid w:val="2B341240"/>
    <w:rsid w:val="2B34584A"/>
    <w:rsid w:val="2B64015F"/>
    <w:rsid w:val="2B644948"/>
    <w:rsid w:val="2B7C6921"/>
    <w:rsid w:val="2B9C4F86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6A7B7E"/>
    <w:rsid w:val="2E852BFA"/>
    <w:rsid w:val="2EB72D84"/>
    <w:rsid w:val="2EE359E2"/>
    <w:rsid w:val="2EEC1574"/>
    <w:rsid w:val="2F1B43C7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921598"/>
    <w:rsid w:val="349A1C0D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BD6057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2140D2"/>
    <w:rsid w:val="3A380799"/>
    <w:rsid w:val="3A476B5E"/>
    <w:rsid w:val="3A4B0E8F"/>
    <w:rsid w:val="3A555FAD"/>
    <w:rsid w:val="3A711825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A75BB4"/>
    <w:rsid w:val="3DB73788"/>
    <w:rsid w:val="3DBE7888"/>
    <w:rsid w:val="3DC72FAC"/>
    <w:rsid w:val="3DD4640D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A37326"/>
    <w:rsid w:val="3EA4334C"/>
    <w:rsid w:val="3EC21710"/>
    <w:rsid w:val="3ED07B39"/>
    <w:rsid w:val="3EEE4BA8"/>
    <w:rsid w:val="3F227ECC"/>
    <w:rsid w:val="3F2A1510"/>
    <w:rsid w:val="3F323523"/>
    <w:rsid w:val="3F59407A"/>
    <w:rsid w:val="3F963935"/>
    <w:rsid w:val="3FBD7ADB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A1164F"/>
    <w:rsid w:val="40AD7C5B"/>
    <w:rsid w:val="40CD5F0B"/>
    <w:rsid w:val="40DD4729"/>
    <w:rsid w:val="40EB7E0B"/>
    <w:rsid w:val="40F1349D"/>
    <w:rsid w:val="411E2BE4"/>
    <w:rsid w:val="413A144A"/>
    <w:rsid w:val="41694287"/>
    <w:rsid w:val="416948A9"/>
    <w:rsid w:val="416B194D"/>
    <w:rsid w:val="41BE3E52"/>
    <w:rsid w:val="41C36A02"/>
    <w:rsid w:val="41D8445C"/>
    <w:rsid w:val="41F85D27"/>
    <w:rsid w:val="420E2A1A"/>
    <w:rsid w:val="4237497C"/>
    <w:rsid w:val="424D68DB"/>
    <w:rsid w:val="42565FD0"/>
    <w:rsid w:val="42596CCD"/>
    <w:rsid w:val="425E5FDE"/>
    <w:rsid w:val="427F350F"/>
    <w:rsid w:val="428319AF"/>
    <w:rsid w:val="42914340"/>
    <w:rsid w:val="42AF1A12"/>
    <w:rsid w:val="42B008AC"/>
    <w:rsid w:val="43127FA0"/>
    <w:rsid w:val="431D66E9"/>
    <w:rsid w:val="4357457D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B673AA"/>
    <w:rsid w:val="44D26E80"/>
    <w:rsid w:val="44DB773A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B06667"/>
    <w:rsid w:val="46C35907"/>
    <w:rsid w:val="47032B85"/>
    <w:rsid w:val="47111705"/>
    <w:rsid w:val="4719625B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7F761D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2E0E02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C04F90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9D713D"/>
    <w:rsid w:val="53A35F99"/>
    <w:rsid w:val="53E6334F"/>
    <w:rsid w:val="53FB17FA"/>
    <w:rsid w:val="541862F0"/>
    <w:rsid w:val="546A6559"/>
    <w:rsid w:val="546F0B91"/>
    <w:rsid w:val="54B70A61"/>
    <w:rsid w:val="54B779B5"/>
    <w:rsid w:val="54D25371"/>
    <w:rsid w:val="54EA3421"/>
    <w:rsid w:val="54EC1FC6"/>
    <w:rsid w:val="54EC416F"/>
    <w:rsid w:val="550939D7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B0199"/>
    <w:rsid w:val="5B0001EA"/>
    <w:rsid w:val="5B2D4307"/>
    <w:rsid w:val="5B5041D6"/>
    <w:rsid w:val="5B554FD4"/>
    <w:rsid w:val="5B6B25D0"/>
    <w:rsid w:val="5B6B4549"/>
    <w:rsid w:val="5BAD031C"/>
    <w:rsid w:val="5BB36D0A"/>
    <w:rsid w:val="5BD03C5A"/>
    <w:rsid w:val="5BD33975"/>
    <w:rsid w:val="5BDA775F"/>
    <w:rsid w:val="5BEA7806"/>
    <w:rsid w:val="5BED1355"/>
    <w:rsid w:val="5C035D5C"/>
    <w:rsid w:val="5C054372"/>
    <w:rsid w:val="5C0B1081"/>
    <w:rsid w:val="5C2E76F3"/>
    <w:rsid w:val="5C312CF5"/>
    <w:rsid w:val="5C531DAC"/>
    <w:rsid w:val="5C5F19A2"/>
    <w:rsid w:val="5C6742FC"/>
    <w:rsid w:val="5C7870C9"/>
    <w:rsid w:val="5C793AF2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6270EF"/>
    <w:rsid w:val="61706EDF"/>
    <w:rsid w:val="61770AB3"/>
    <w:rsid w:val="619B1498"/>
    <w:rsid w:val="619B3BCB"/>
    <w:rsid w:val="61C5760F"/>
    <w:rsid w:val="61CB09F2"/>
    <w:rsid w:val="61F34165"/>
    <w:rsid w:val="62053AEE"/>
    <w:rsid w:val="62426D4A"/>
    <w:rsid w:val="6260568A"/>
    <w:rsid w:val="62842199"/>
    <w:rsid w:val="62904A5E"/>
    <w:rsid w:val="62B6346C"/>
    <w:rsid w:val="62C4291E"/>
    <w:rsid w:val="62C65CEC"/>
    <w:rsid w:val="62F27D6D"/>
    <w:rsid w:val="631814C9"/>
    <w:rsid w:val="632F7DE7"/>
    <w:rsid w:val="6347606A"/>
    <w:rsid w:val="635B012E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7530B"/>
    <w:rsid w:val="64BA39D7"/>
    <w:rsid w:val="64CF3CAA"/>
    <w:rsid w:val="64D96235"/>
    <w:rsid w:val="64DA01CC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4E7EC9"/>
    <w:rsid w:val="6A650E8F"/>
    <w:rsid w:val="6A7F0672"/>
    <w:rsid w:val="6A8243F3"/>
    <w:rsid w:val="6AA25847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6356A7"/>
    <w:rsid w:val="6B6712DB"/>
    <w:rsid w:val="6B6F75D9"/>
    <w:rsid w:val="6B7753BB"/>
    <w:rsid w:val="6B7A6C48"/>
    <w:rsid w:val="6B8223B8"/>
    <w:rsid w:val="6BA303EE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6E43B8"/>
    <w:rsid w:val="6E793023"/>
    <w:rsid w:val="6E7F7AFB"/>
    <w:rsid w:val="6EB770BA"/>
    <w:rsid w:val="6EB96505"/>
    <w:rsid w:val="6ED43ACF"/>
    <w:rsid w:val="6EDF1CCE"/>
    <w:rsid w:val="6EEA71F0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60D34"/>
    <w:rsid w:val="6FEE7F40"/>
    <w:rsid w:val="70015EAC"/>
    <w:rsid w:val="70093C44"/>
    <w:rsid w:val="7013025E"/>
    <w:rsid w:val="70150176"/>
    <w:rsid w:val="70485FBD"/>
    <w:rsid w:val="706A4129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80096"/>
    <w:rsid w:val="72CD0489"/>
    <w:rsid w:val="72DB349B"/>
    <w:rsid w:val="72E10CF1"/>
    <w:rsid w:val="72E16E78"/>
    <w:rsid w:val="72EA15F7"/>
    <w:rsid w:val="73062CBE"/>
    <w:rsid w:val="73297EB2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116253"/>
    <w:rsid w:val="76631090"/>
    <w:rsid w:val="76703988"/>
    <w:rsid w:val="7672217C"/>
    <w:rsid w:val="76A12DC3"/>
    <w:rsid w:val="76D15B17"/>
    <w:rsid w:val="77186B1E"/>
    <w:rsid w:val="77645C7D"/>
    <w:rsid w:val="777439C1"/>
    <w:rsid w:val="778B1158"/>
    <w:rsid w:val="77961505"/>
    <w:rsid w:val="77B15DF4"/>
    <w:rsid w:val="77B856B5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D02FB6"/>
    <w:rsid w:val="78E43768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303322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A61F8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2D69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iPriority="99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="16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32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33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unhideWhenUsed/>
    <w:qFormat/>
    <w:uiPriority w:val="9"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6">
    <w:name w:val="heading 5"/>
    <w:basedOn w:val="5"/>
    <w:next w:val="1"/>
    <w:unhideWhenUsed/>
    <w:qFormat/>
    <w:uiPriority w:val="9"/>
    <w:pPr>
      <w:spacing w:before="10" w:after="10" w:line="240" w:lineRule="auto"/>
      <w:outlineLvl w:val="4"/>
    </w:pPr>
    <w:rPr>
      <w:rFonts w:ascii="Times New Roman" w:hAnsi="Times New Roman" w:eastAsia="宋体"/>
      <w:sz w:val="21"/>
      <w:u w:val="single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List 3"/>
    <w:basedOn w:val="10"/>
    <w:qFormat/>
    <w:uiPriority w:val="0"/>
    <w:pPr>
      <w:ind w:left="1135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3">
    <w:name w:val="Document Map"/>
    <w:basedOn w:val="1"/>
    <w:link w:val="52"/>
    <w:semiHidden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34"/>
    <w:qFormat/>
    <w:uiPriority w:val="0"/>
  </w:style>
  <w:style w:type="paragraph" w:styleId="15">
    <w:name w:val="Body Text"/>
    <w:basedOn w:val="1"/>
    <w:qFormat/>
    <w:uiPriority w:val="0"/>
    <w:pPr>
      <w:spacing w:after="120"/>
    </w:pPr>
    <w:rPr>
      <w:rFonts w:ascii="Times" w:hAnsi="Times"/>
      <w:szCs w:val="24"/>
    </w:rPr>
  </w:style>
  <w:style w:type="paragraph" w:styleId="16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3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6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b/>
      <w:bCs/>
      <w:i/>
      <w:iCs/>
      <w:sz w:val="20"/>
    </w:rPr>
  </w:style>
  <w:style w:type="paragraph" w:styleId="20">
    <w:name w:val="List 4"/>
    <w:basedOn w:val="9"/>
    <w:qFormat/>
    <w:uiPriority w:val="0"/>
    <w:pPr>
      <w:ind w:left="1418"/>
    </w:pPr>
  </w:style>
  <w:style w:type="paragraph" w:styleId="21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4"/>
    <w:next w:val="14"/>
    <w:link w:val="42"/>
    <w:semiHidden/>
    <w:unhideWhenUsed/>
    <w:qFormat/>
    <w:uiPriority w:val="99"/>
    <w:pPr>
      <w:jc w:val="left"/>
    </w:pPr>
    <w:rPr>
      <w:b/>
      <w:bCs/>
    </w:rPr>
  </w:style>
  <w:style w:type="table" w:styleId="24">
    <w:name w:val="Table Grid"/>
    <w:basedOn w:val="2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22"/>
    <w:rPr>
      <w:b/>
    </w:rPr>
  </w:style>
  <w:style w:type="character" w:styleId="27">
    <w:name w:val="page number"/>
    <w:basedOn w:val="25"/>
    <w:semiHidden/>
    <w:qFormat/>
    <w:uiPriority w:val="0"/>
  </w:style>
  <w:style w:type="character" w:styleId="28">
    <w:name w:val="Hyperlink"/>
    <w:basedOn w:val="25"/>
    <w:qFormat/>
    <w:uiPriority w:val="99"/>
    <w:rPr>
      <w:color w:val="0000FF"/>
      <w:u w:val="single"/>
    </w:rPr>
  </w:style>
  <w:style w:type="character" w:styleId="29">
    <w:name w:val="annotation reference"/>
    <w:basedOn w:val="25"/>
    <w:qFormat/>
    <w:uiPriority w:val="0"/>
    <w:rPr>
      <w:sz w:val="16"/>
    </w:rPr>
  </w:style>
  <w:style w:type="character" w:customStyle="1" w:styleId="30">
    <w:name w:val="批注框文本 字符"/>
    <w:basedOn w:val="25"/>
    <w:link w:val="1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标题 1 字符"/>
    <w:basedOn w:val="25"/>
    <w:link w:val="2"/>
    <w:qFormat/>
    <w:uiPriority w:val="0"/>
    <w:rPr>
      <w:rFonts w:ascii="Arial" w:hAnsi="Arial" w:eastAsia="MS Mincho" w:cs="Times New Roman"/>
      <w:sz w:val="32"/>
      <w:szCs w:val="20"/>
    </w:rPr>
  </w:style>
  <w:style w:type="character" w:customStyle="1" w:styleId="32">
    <w:name w:val="标题 2 字符"/>
    <w:basedOn w:val="25"/>
    <w:link w:val="3"/>
    <w:qFormat/>
    <w:uiPriority w:val="0"/>
    <w:rPr>
      <w:rFonts w:ascii="Arial" w:hAnsi="Arial" w:eastAsia="MS Mincho" w:cs="Times New Roman"/>
      <w:sz w:val="28"/>
      <w:szCs w:val="20"/>
    </w:rPr>
  </w:style>
  <w:style w:type="character" w:customStyle="1" w:styleId="33">
    <w:name w:val="标题 3 字符"/>
    <w:basedOn w:val="25"/>
    <w:link w:val="4"/>
    <w:qFormat/>
    <w:uiPriority w:val="0"/>
    <w:rPr>
      <w:rFonts w:ascii="Arial" w:hAnsi="Arial" w:eastAsia="MS Mincho" w:cs="Times New Roman"/>
      <w:sz w:val="24"/>
      <w:szCs w:val="20"/>
    </w:rPr>
  </w:style>
  <w:style w:type="character" w:customStyle="1" w:styleId="34">
    <w:name w:val="批注文字 字符"/>
    <w:basedOn w:val="25"/>
    <w:link w:val="1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5">
    <w:name w:val="页脚 字符"/>
    <w:basedOn w:val="25"/>
    <w:link w:val="1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页眉 字符"/>
    <w:basedOn w:val="25"/>
    <w:link w:val="18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7">
    <w:name w:val="References"/>
    <w:basedOn w:val="1"/>
    <w:qFormat/>
    <w:uiPriority w:val="0"/>
    <w:pPr>
      <w:numPr>
        <w:ilvl w:val="0"/>
        <w:numId w:val="2"/>
      </w:numPr>
      <w:spacing w:after="60"/>
    </w:pPr>
    <w:rPr>
      <w:szCs w:val="16"/>
    </w:rPr>
  </w:style>
  <w:style w:type="paragraph" w:styleId="38">
    <w:name w:val="List Paragraph"/>
    <w:basedOn w:val="1"/>
    <w:link w:val="44"/>
    <w:qFormat/>
    <w:uiPriority w:val="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39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40">
    <w:name w:val="font11"/>
    <w:basedOn w:val="25"/>
    <w:qFormat/>
    <w:uiPriority w:val="0"/>
    <w:rPr>
      <w:rFonts w:hint="default" w:ascii="Symbol" w:hAnsi="Symbol" w:cs="Symbol"/>
      <w:b/>
      <w:color w:val="000000"/>
      <w:sz w:val="20"/>
      <w:szCs w:val="20"/>
      <w:u w:val="none"/>
    </w:rPr>
  </w:style>
  <w:style w:type="character" w:customStyle="1" w:styleId="41">
    <w:name w:val="font01"/>
    <w:basedOn w:val="25"/>
    <w:qFormat/>
    <w:uiPriority w:val="0"/>
    <w:rPr>
      <w:rFonts w:hint="default" w:ascii="Symbol" w:hAnsi="Symbol" w:cs="Symbol"/>
      <w:color w:val="000000"/>
      <w:sz w:val="20"/>
      <w:szCs w:val="20"/>
      <w:u w:val="none"/>
    </w:rPr>
  </w:style>
  <w:style w:type="character" w:customStyle="1" w:styleId="42">
    <w:name w:val="批注主题 字符"/>
    <w:basedOn w:val="34"/>
    <w:link w:val="22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0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character" w:customStyle="1" w:styleId="44">
    <w:name w:val="列表段落 字符"/>
    <w:link w:val="38"/>
    <w:qFormat/>
    <w:uiPriority w:val="34"/>
    <w:rPr>
      <w:rFonts w:ascii="Times New Roman" w:hAnsi="Times New Roman" w:eastAsia="Times New Roman" w:cs="Times New Roman"/>
      <w:kern w:val="2"/>
      <w:sz w:val="24"/>
      <w:szCs w:val="24"/>
    </w:rPr>
  </w:style>
  <w:style w:type="character" w:styleId="45">
    <w:name w:val="Placeholder Text"/>
    <w:basedOn w:val="25"/>
    <w:unhideWhenUsed/>
    <w:qFormat/>
    <w:uiPriority w:val="99"/>
    <w:rPr>
      <w:color w:val="808080"/>
    </w:rPr>
  </w:style>
  <w:style w:type="paragraph" w:customStyle="1" w:styleId="46">
    <w:name w:val="x_msonormal"/>
    <w:basedOn w:val="1"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eastAsia="en-GB"/>
    </w:rPr>
  </w:style>
  <w:style w:type="character" w:customStyle="1" w:styleId="47">
    <w:name w:val="x_apple-converted-space"/>
    <w:qFormat/>
    <w:uiPriority w:val="0"/>
  </w:style>
  <w:style w:type="paragraph" w:customStyle="1" w:styleId="48">
    <w:name w:val="TAH"/>
    <w:basedOn w:val="49"/>
    <w:qFormat/>
    <w:uiPriority w:val="0"/>
    <w:rPr>
      <w:b/>
    </w:rPr>
  </w:style>
  <w:style w:type="paragraph" w:customStyle="1" w:styleId="49">
    <w:name w:val="TAC"/>
    <w:basedOn w:val="50"/>
    <w:qFormat/>
    <w:uiPriority w:val="0"/>
    <w:pPr>
      <w:jc w:val="center"/>
    </w:pPr>
  </w:style>
  <w:style w:type="paragraph" w:customStyle="1" w:styleId="50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52">
    <w:name w:val="文档结构图 字符"/>
    <w:basedOn w:val="25"/>
    <w:link w:val="13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53">
    <w:name w:val="修订2"/>
    <w:hidden/>
    <w:unhideWhenUsed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4">
    <w:name w:val="x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</w:rPr>
  </w:style>
  <w:style w:type="character" w:customStyle="1" w:styleId="55">
    <w:name w:val="apple-converted-space"/>
    <w:basedOn w:val="25"/>
    <w:qFormat/>
    <w:uiPriority w:val="0"/>
  </w:style>
  <w:style w:type="paragraph" w:customStyle="1" w:styleId="56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57">
    <w:name w:val="x_xmsonormal"/>
    <w:basedOn w:val="1"/>
    <w:qFormat/>
    <w:uiPriority w:val="0"/>
    <w:rPr>
      <w:rFonts w:ascii="宋体" w:hAnsi="宋体" w:cs="Calibri"/>
      <w:sz w:val="24"/>
    </w:rPr>
  </w:style>
  <w:style w:type="paragraph" w:customStyle="1" w:styleId="58">
    <w:name w:val="YJ-Observation"/>
    <w:basedOn w:val="1"/>
    <w:qFormat/>
    <w:uiPriority w:val="0"/>
    <w:pPr>
      <w:numPr>
        <w:ilvl w:val="0"/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59">
    <w:name w:val="3GPP Normal Text"/>
    <w:basedOn w:val="15"/>
    <w:qFormat/>
    <w:uiPriority w:val="0"/>
    <w:pPr>
      <w:spacing w:after="60"/>
    </w:pPr>
    <w:rPr>
      <w:rFonts w:ascii="Times New Roman" w:hAnsi="Times New Roman" w:eastAsia="MS Mincho"/>
    </w:rPr>
  </w:style>
  <w:style w:type="paragraph" w:customStyle="1" w:styleId="60">
    <w:name w:val="List Paragraph1"/>
    <w:basedOn w:val="1"/>
    <w:qFormat/>
    <w:uiPriority w:val="0"/>
    <w:pPr>
      <w:widowControl w:val="0"/>
      <w:spacing w:beforeLines="0" w:afterLines="0" w:line="240" w:lineRule="auto"/>
      <w:ind w:firstLine="420" w:firstLineChars="200"/>
    </w:pPr>
    <w:rPr>
      <w:rFonts w:ascii="Calibri" w:hAnsi="Calibri"/>
      <w:szCs w:val="21"/>
    </w:rPr>
  </w:style>
  <w:style w:type="paragraph" w:customStyle="1" w:styleId="61">
    <w:name w:val="YJ-Proposal"/>
    <w:basedOn w:val="1"/>
    <w:qFormat/>
    <w:uiPriority w:val="0"/>
    <w:pPr>
      <w:numPr>
        <w:ilvl w:val="0"/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62">
    <w:name w:val="contentpasted2"/>
    <w:basedOn w:val="25"/>
    <w:qFormat/>
    <w:uiPriority w:val="0"/>
  </w:style>
  <w:style w:type="paragraph" w:customStyle="1" w:styleId="63">
    <w:name w:val="TH"/>
    <w:basedOn w:val="1"/>
    <w:qFormat/>
    <w:uiPriority w:val="0"/>
    <w:pPr>
      <w:keepNext/>
      <w:keepLines/>
      <w:spacing w:before="60" w:after="180"/>
      <w:jc w:val="center"/>
    </w:pPr>
    <w:rPr>
      <w:rFonts w:ascii="Arial" w:hAnsi="Arial" w:eastAsia="Times New Roman"/>
      <w:b/>
      <w:sz w:val="20"/>
      <w:lang w:val="en-GB"/>
    </w:rPr>
  </w:style>
  <w:style w:type="paragraph" w:customStyle="1" w:styleId="64">
    <w:name w:val="B1"/>
    <w:basedOn w:val="11"/>
    <w:qFormat/>
    <w:uiPriority w:val="0"/>
  </w:style>
  <w:style w:type="paragraph" w:customStyle="1" w:styleId="65">
    <w:name w:val="B2"/>
    <w:basedOn w:val="10"/>
    <w:qFormat/>
    <w:uiPriority w:val="0"/>
  </w:style>
  <w:style w:type="paragraph" w:customStyle="1" w:styleId="66">
    <w:name w:val="B3"/>
    <w:basedOn w:val="9"/>
    <w:qFormat/>
    <w:uiPriority w:val="0"/>
  </w:style>
  <w:style w:type="paragraph" w:customStyle="1" w:styleId="67">
    <w:name w:val="B4"/>
    <w:basedOn w:val="20"/>
    <w:qFormat/>
    <w:uiPriority w:val="0"/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listparagraph"/>
    <w:basedOn w:val="1"/>
    <w:qFormat/>
    <w:uiPriority w:val="99"/>
    <w:pPr>
      <w:spacing w:line="252" w:lineRule="auto"/>
      <w:ind w:left="720"/>
    </w:pPr>
    <w:rPr>
      <w:rFonts w:ascii="Calibri" w:hAnsi="Calibri" w:eastAsia="Calibri" w:cs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DD3C22-2A01-4E42-85DF-6CF3D67742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1925</Words>
  <Characters>10975</Characters>
  <Lines>91</Lines>
  <Paragraphs>25</Paragraphs>
  <TotalTime>32</TotalTime>
  <ScaleCrop>false</ScaleCrop>
  <LinksUpToDate>false</LinksUpToDate>
  <CharactersWithSpaces>12875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2022-09-29T12:33:00Z</dcterms:created>
  <dc:creator>YuzhouHu</dc:creator>
  <cp:lastModifiedBy>ZTE, Mengzhu</cp:lastModifiedBy>
  <dcterms:modified xsi:type="dcterms:W3CDTF">2023-09-29T13:04:12Z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AF7EA62EA6A54E2E8AC166F47EDDEFB5</vt:lpwstr>
  </property>
</Properties>
</file>